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5C" w:rsidRPr="00986E5C" w:rsidRDefault="00986E5C" w:rsidP="00986E5C">
      <w:r>
        <w:t xml:space="preserve">1 </w:t>
      </w:r>
      <w:r w:rsidRPr="00986E5C">
        <w:t xml:space="preserve">Australian Bureau of Statistics, 2016 Census </w:t>
      </w:r>
      <w:proofErr w:type="spellStart"/>
      <w:r w:rsidRPr="00986E5C">
        <w:t>QuickStats</w:t>
      </w:r>
      <w:proofErr w:type="spellEnd"/>
      <w:r w:rsidRPr="00986E5C">
        <w:t xml:space="preserve">, Northern Territory https://quickstats.censusdata.abs.gov.au/census_services/getproduct/census/2016/quickstat/7?opendocume </w:t>
      </w:r>
      <w:proofErr w:type="spellStart"/>
      <w:r w:rsidRPr="00986E5C">
        <w:t>nt</w:t>
      </w:r>
      <w:proofErr w:type="spellEnd"/>
      <w:r w:rsidRPr="00986E5C">
        <w:t xml:space="preserve"> accessed 18th June 2019; Aboriginal languages in NT https://nt.gov.au/community/interpreting-and- translating-services/aboriginal-interpreter-service/aboriginal-languages-in-nt, accessed 18th June 2019</w:t>
      </w:r>
    </w:p>
    <w:p w:rsidR="00986E5C" w:rsidRPr="00986E5C" w:rsidRDefault="00986E5C" w:rsidP="00986E5C">
      <w:r w:rsidRPr="00986E5C">
        <w:rPr>
          <w:vertAlign w:val="superscript"/>
        </w:rPr>
        <w:t>2</w:t>
      </w:r>
      <w:r w:rsidRPr="00986E5C">
        <w:t xml:space="preserve"> Australian Government, 2018, Income Management and Cashless Debit Card Summary, October 2019, accessed at </w:t>
      </w:r>
      <w:hyperlink r:id="rId5" w:history="1">
        <w:r w:rsidRPr="00986E5C">
          <w:rPr>
            <w:rStyle w:val="Hyperlink"/>
          </w:rPr>
          <w:t>https://data.gov.au/dataset/ds-dga-3b1f1fb7-adb5-48ea-8305-9205df0a298c/distribution/dist-</w:t>
        </w:r>
      </w:hyperlink>
      <w:r w:rsidRPr="00986E5C">
        <w:t xml:space="preserve"> </w:t>
      </w:r>
      <w:hyperlink r:id="rId6" w:history="1">
        <w:r w:rsidRPr="00986E5C">
          <w:rPr>
            <w:rStyle w:val="Hyperlink"/>
          </w:rPr>
          <w:t>dga-986ef7fe-1ba8-460e-b1c4-2cf00145a948/</w:t>
        </w:r>
        <w:proofErr w:type="spellStart"/>
        <w:r w:rsidRPr="00986E5C">
          <w:rPr>
            <w:rStyle w:val="Hyperlink"/>
          </w:rPr>
          <w:t>details?q</w:t>
        </w:r>
        <w:proofErr w:type="spellEnd"/>
        <w:r w:rsidRPr="00986E5C">
          <w:rPr>
            <w:rStyle w:val="Hyperlink"/>
          </w:rPr>
          <w:t>=</w:t>
        </w:r>
      </w:hyperlink>
    </w:p>
    <w:p w:rsidR="00986E5C" w:rsidRPr="00986E5C" w:rsidRDefault="00986E5C" w:rsidP="00986E5C">
      <w:r w:rsidRPr="00986E5C">
        <w:rPr>
          <w:vertAlign w:val="superscript"/>
        </w:rPr>
        <w:t>3</w:t>
      </w:r>
      <w:r w:rsidRPr="00986E5C">
        <w:t xml:space="preserve"> Australian Council of Social Service (ACOSS), Cashless Debit Card and Income Management Briefing Note 2020</w:t>
      </w:r>
    </w:p>
    <w:p w:rsidR="00986E5C" w:rsidRPr="00986E5C" w:rsidRDefault="00986E5C" w:rsidP="00986E5C">
      <w:r w:rsidRPr="00986E5C">
        <w:rPr>
          <w:vertAlign w:val="superscript"/>
        </w:rPr>
        <w:t>4</w:t>
      </w:r>
      <w:r w:rsidRPr="00986E5C">
        <w:t xml:space="preserve"> Explanatory Memorandum, Social Security and Other Legislation (Welfare Payment Reform) Bill 2007, p. 5 </w:t>
      </w:r>
      <w:r w:rsidRPr="00986E5C">
        <w:rPr>
          <w:vertAlign w:val="superscript"/>
        </w:rPr>
        <w:t>5</w:t>
      </w:r>
      <w:r w:rsidRPr="00986E5C">
        <w:t xml:space="preserve"> Bray et al. 2014, Evaluating New Income Management in the Northern Territory, UNSW, Social Policy Research Centre</w:t>
      </w:r>
    </w:p>
    <w:p w:rsidR="00986E5C" w:rsidRPr="00986E5C" w:rsidRDefault="00986E5C" w:rsidP="00986E5C">
      <w:r w:rsidRPr="00986E5C">
        <w:rPr>
          <w:vertAlign w:val="superscript"/>
        </w:rPr>
        <w:t>6</w:t>
      </w:r>
      <w:r w:rsidRPr="00986E5C">
        <w:t xml:space="preserve"> Doyle, M., </w:t>
      </w:r>
      <w:proofErr w:type="spellStart"/>
      <w:r w:rsidRPr="00986E5C">
        <w:t>Schurer</w:t>
      </w:r>
      <w:proofErr w:type="spellEnd"/>
      <w:r w:rsidRPr="00986E5C">
        <w:t xml:space="preserve">, S., &amp; </w:t>
      </w:r>
      <w:proofErr w:type="spellStart"/>
      <w:r w:rsidRPr="00986E5C">
        <w:t>Silburn</w:t>
      </w:r>
      <w:proofErr w:type="spellEnd"/>
      <w:r w:rsidRPr="00986E5C">
        <w:t>, S. (2019). Why does income quarantining worsen birth outcomes in indigenous communities?, Conference paper for presentation at the NBER workshop Indigenous Health, Wellbeing, and Children's Outcomes, Boston Massachusetts, November 2019. University of Sydney, Institute for the Study of Labour, Menzies School of Health Research; APO NT, Submission to the Senate Community Affairs Legislation Committee on the Social Security (Administration) Amendment (Continuation of Cashless Welfare) Bill 2020</w:t>
      </w:r>
    </w:p>
    <w:p w:rsidR="00986E5C" w:rsidRPr="00986E5C" w:rsidRDefault="00986E5C" w:rsidP="00986E5C">
      <w:r w:rsidRPr="00986E5C">
        <w:rPr>
          <w:vertAlign w:val="superscript"/>
        </w:rPr>
        <w:t>7</w:t>
      </w:r>
      <w:r w:rsidRPr="00986E5C">
        <w:t xml:space="preserve"> Clark, D., </w:t>
      </w:r>
      <w:proofErr w:type="spellStart"/>
      <w:r w:rsidRPr="00986E5C">
        <w:t>Kettlewell</w:t>
      </w:r>
      <w:proofErr w:type="spellEnd"/>
      <w:r w:rsidRPr="00986E5C">
        <w:t xml:space="preserve">, N., </w:t>
      </w:r>
      <w:proofErr w:type="spellStart"/>
      <w:r w:rsidRPr="00986E5C">
        <w:t>Schurer</w:t>
      </w:r>
      <w:proofErr w:type="spellEnd"/>
      <w:r w:rsidRPr="00986E5C">
        <w:t xml:space="preserve">, S., &amp; </w:t>
      </w:r>
      <w:proofErr w:type="spellStart"/>
      <w:r w:rsidRPr="00986E5C">
        <w:t>Silburn</w:t>
      </w:r>
      <w:proofErr w:type="spellEnd"/>
      <w:r w:rsidRPr="00986E5C">
        <w:t xml:space="preserve">, S. (2017). The effect of quarantining welfare on school attendance in Indigenous communities. Life Course Centre Working Paper Series. </w:t>
      </w:r>
      <w:hyperlink r:id="rId7" w:history="1">
        <w:r w:rsidRPr="00986E5C">
          <w:rPr>
            <w:rStyle w:val="Hyperlink"/>
          </w:rPr>
          <w:t>https://www.lifecoursecentre.org.au/wp-content/uploads/2018/06/2017-22-LCC-Working-Paper-Cobb-Clark-</w:t>
        </w:r>
      </w:hyperlink>
      <w:r w:rsidRPr="00986E5C">
        <w:t xml:space="preserve"> </w:t>
      </w:r>
      <w:hyperlink r:id="rId8" w:history="1">
        <w:r w:rsidRPr="00986E5C">
          <w:rPr>
            <w:rStyle w:val="Hyperlink"/>
          </w:rPr>
          <w:t>et-</w:t>
        </w:r>
        <w:proofErr w:type="spellStart"/>
        <w:r w:rsidRPr="00986E5C">
          <w:rPr>
            <w:rStyle w:val="Hyperlink"/>
          </w:rPr>
          <w:t>al</w:t>
        </w:r>
        <w:proofErr w:type="gramStart"/>
        <w:r w:rsidRPr="00986E5C">
          <w:rPr>
            <w:rStyle w:val="Hyperlink"/>
          </w:rPr>
          <w:t>..pdf</w:t>
        </w:r>
        <w:proofErr w:type="spellEnd"/>
        <w:proofErr w:type="gramEnd"/>
      </w:hyperlink>
    </w:p>
    <w:p w:rsidR="00986E5C" w:rsidRPr="00986E5C" w:rsidRDefault="00986E5C" w:rsidP="00986E5C">
      <w:r w:rsidRPr="00986E5C">
        <w:rPr>
          <w:vertAlign w:val="superscript"/>
        </w:rPr>
        <w:t>8</w:t>
      </w:r>
      <w:r w:rsidRPr="00986E5C">
        <w:t xml:space="preserve"> Marston, G., Mendes, P., Bielefeld, S., </w:t>
      </w:r>
      <w:proofErr w:type="spellStart"/>
      <w:r w:rsidRPr="00986E5C">
        <w:t>Peterie</w:t>
      </w:r>
      <w:proofErr w:type="spellEnd"/>
      <w:r w:rsidRPr="00986E5C">
        <w:t xml:space="preserve">, M., Staines, R., &amp; Roche, S. (2020). Hidden costs: An independent study into Income Management in Australia. University of Queensland. </w:t>
      </w:r>
      <w:hyperlink r:id="rId9" w:history="1">
        <w:r w:rsidRPr="00986E5C">
          <w:rPr>
            <w:rStyle w:val="Hyperlink"/>
          </w:rPr>
          <w:t>https://research.monash.edu/en/publications/hidden-costs-an-independent-study-into-income-management-</w:t>
        </w:r>
      </w:hyperlink>
      <w:r w:rsidRPr="00986E5C">
        <w:t xml:space="preserve"> </w:t>
      </w:r>
      <w:hyperlink r:id="rId10" w:history="1">
        <w:r w:rsidRPr="00986E5C">
          <w:rPr>
            <w:rStyle w:val="Hyperlink"/>
          </w:rPr>
          <w:t>in-</w:t>
        </w:r>
        <w:proofErr w:type="spellStart"/>
        <w:r w:rsidRPr="00986E5C">
          <w:rPr>
            <w:rStyle w:val="Hyperlink"/>
          </w:rPr>
          <w:t>austr</w:t>
        </w:r>
        <w:proofErr w:type="spellEnd"/>
      </w:hyperlink>
    </w:p>
    <w:p w:rsidR="00986E5C" w:rsidRPr="00986E5C" w:rsidRDefault="00986E5C" w:rsidP="00986E5C">
      <w:r w:rsidRPr="00986E5C">
        <w:rPr>
          <w:vertAlign w:val="superscript"/>
        </w:rPr>
        <w:t>9</w:t>
      </w:r>
      <w:r w:rsidRPr="00986E5C">
        <w:t xml:space="preserve"> Australian National Audit Office, 2018, </w:t>
      </w:r>
      <w:proofErr w:type="gramStart"/>
      <w:r w:rsidRPr="00986E5C">
        <w:t>The</w:t>
      </w:r>
      <w:proofErr w:type="gramEnd"/>
      <w:r w:rsidRPr="00986E5C">
        <w:t xml:space="preserve"> Implementation and Performance of the Cashless Debit Card Trial</w:t>
      </w:r>
    </w:p>
    <w:p w:rsidR="00986E5C" w:rsidRPr="00986E5C" w:rsidRDefault="00986E5C" w:rsidP="00986E5C">
      <w:r w:rsidRPr="00986E5C">
        <w:rPr>
          <w:vertAlign w:val="superscript"/>
        </w:rPr>
        <w:t>10</w:t>
      </w:r>
      <w:r w:rsidRPr="00986E5C">
        <w:t xml:space="preserve"> Bray, R. J. (2016) ‘Seven years of evaluating income management – what have we learnt? Placing the findings of the New Income Management in the Northern Territory evaluation in context’, Australian Journal of Social Issues Vol.51 No.4, p. 464; Australian Council of Social Service (ACOSS), Cashless Debit Card and Income Management Briefing Note 2020</w:t>
      </w:r>
    </w:p>
    <w:p w:rsidR="00986E5C" w:rsidRPr="00986E5C" w:rsidRDefault="00986E5C" w:rsidP="00986E5C">
      <w:r w:rsidRPr="00986E5C">
        <w:rPr>
          <w:vertAlign w:val="superscript"/>
        </w:rPr>
        <w:t>11</w:t>
      </w:r>
      <w:r w:rsidRPr="00986E5C">
        <w:t xml:space="preserve"> Closing the Gap </w:t>
      </w:r>
      <w:proofErr w:type="gramStart"/>
      <w:r w:rsidRPr="00986E5C">
        <w:t>In</w:t>
      </w:r>
      <w:proofErr w:type="gramEnd"/>
      <w:r w:rsidRPr="00986E5C">
        <w:t xml:space="preserve"> Partnership, National Agreement on Closing the Gap: At a Glance, viewed October 2020, accessed at </w:t>
      </w:r>
      <w:hyperlink r:id="rId11" w:history="1">
        <w:r w:rsidRPr="00986E5C">
          <w:rPr>
            <w:rStyle w:val="Hyperlink"/>
          </w:rPr>
          <w:t>https://www.closingthegap.gov.au/national-agreement-closing-gap-glance</w:t>
        </w:r>
      </w:hyperlink>
    </w:p>
    <w:p w:rsidR="00986E5C" w:rsidRPr="00986E5C" w:rsidRDefault="00986E5C" w:rsidP="00986E5C">
      <w:r w:rsidRPr="00986E5C">
        <w:rPr>
          <w:vertAlign w:val="superscript"/>
        </w:rPr>
        <w:t>12</w:t>
      </w:r>
      <w:r w:rsidRPr="00986E5C">
        <w:t xml:space="preserve"> Attachment A; APO NT, Submission to the Senate Community Affairs Legislation Committee Social Security (Administration) Amendment (Income Management to Cashless Debit Card Transition) Bill 2019; APO NT, Submission to the Senate Community Affairs Legislation Committee on the Social Security (Administration) Amendment (Continuation of Cashless Welfare) Bill 2020</w:t>
      </w:r>
    </w:p>
    <w:p w:rsidR="00986E5C" w:rsidRPr="00986E5C" w:rsidRDefault="00986E5C" w:rsidP="00986E5C">
      <w:r w:rsidRPr="00986E5C">
        <w:rPr>
          <w:vertAlign w:val="superscript"/>
        </w:rPr>
        <w:t>13</w:t>
      </w:r>
      <w:r w:rsidRPr="00986E5C">
        <w:t xml:space="preserve"> Klein E and </w:t>
      </w:r>
      <w:proofErr w:type="spellStart"/>
      <w:r w:rsidRPr="00986E5C">
        <w:t>Razi</w:t>
      </w:r>
      <w:proofErr w:type="spellEnd"/>
      <w:r w:rsidRPr="00986E5C">
        <w:t xml:space="preserve"> S, 2017, </w:t>
      </w:r>
      <w:proofErr w:type="gramStart"/>
      <w:r w:rsidRPr="00986E5C">
        <w:t>The</w:t>
      </w:r>
      <w:proofErr w:type="gramEnd"/>
      <w:r w:rsidRPr="00986E5C">
        <w:t xml:space="preserve"> Cashless Debit Card Trial in the East Kimberley</w:t>
      </w:r>
    </w:p>
    <w:p w:rsidR="00986E5C" w:rsidRPr="00986E5C" w:rsidRDefault="00986E5C" w:rsidP="00986E5C">
      <w:r w:rsidRPr="00986E5C">
        <w:rPr>
          <w:vertAlign w:val="superscript"/>
        </w:rPr>
        <w:lastRenderedPageBreak/>
        <w:t>14</w:t>
      </w:r>
      <w:r w:rsidRPr="00986E5C">
        <w:t xml:space="preserve"> Ibid.</w:t>
      </w:r>
    </w:p>
    <w:p w:rsidR="00986E5C" w:rsidRPr="00986E5C" w:rsidRDefault="00986E5C" w:rsidP="00986E5C">
      <w:r w:rsidRPr="00986E5C">
        <w:rPr>
          <w:vertAlign w:val="superscript"/>
        </w:rPr>
        <w:t>15</w:t>
      </w:r>
      <w:r w:rsidRPr="00986E5C">
        <w:t xml:space="preserve"> Parliamentary Joint Committee on Human Rights, Human Rights Scrutiny Report, Report no 27/2015, 8 September 2015; Parliamentary Joint Committee on Human Rights, Human Rights Scrutiny Report, Report no 9/2017, 5 September 2017</w:t>
      </w:r>
    </w:p>
    <w:p w:rsidR="00986E5C" w:rsidRPr="00986E5C" w:rsidRDefault="00986E5C" w:rsidP="00986E5C">
      <w:r w:rsidRPr="00986E5C">
        <w:rPr>
          <w:vertAlign w:val="superscript"/>
        </w:rPr>
        <w:t>16</w:t>
      </w:r>
      <w:r w:rsidRPr="00986E5C">
        <w:t xml:space="preserve"> Bray et al. 2014, Evaluating New Income Management in the Northern Territory</w:t>
      </w:r>
    </w:p>
    <w:p w:rsidR="00986E5C" w:rsidRPr="00986E5C" w:rsidRDefault="00986E5C" w:rsidP="00986E5C">
      <w:r w:rsidRPr="00986E5C">
        <w:rPr>
          <w:vertAlign w:val="superscript"/>
        </w:rPr>
        <w:t>17</w:t>
      </w:r>
      <w:r w:rsidRPr="00986E5C">
        <w:t xml:space="preserve"> United Nations Committee on the Elimination of Racial Discrimination, 2017, Concluding observations on the eighteenth to twentieth periodic reports of Australia, October 2019, accessed at </w:t>
      </w:r>
      <w:hyperlink r:id="rId12" w:history="1">
        <w:r w:rsidRPr="00986E5C">
          <w:rPr>
            <w:rStyle w:val="Hyperlink"/>
          </w:rPr>
          <w:t>https://tbinternet.ohchr.org/Treaties/CERD/Shared%20Documents/AUS/CERD_C_AUS_CO_18-</w:t>
        </w:r>
      </w:hyperlink>
      <w:r w:rsidRPr="00986E5C">
        <w:t xml:space="preserve"> </w:t>
      </w:r>
      <w:hyperlink r:id="rId13" w:history="1">
        <w:r w:rsidRPr="00986E5C">
          <w:rPr>
            <w:rStyle w:val="Hyperlink"/>
          </w:rPr>
          <w:t xml:space="preserve">20_29700_E.pdf; </w:t>
        </w:r>
      </w:hyperlink>
      <w:r w:rsidRPr="00986E5C">
        <w:t xml:space="preserve">Australian Human Rights Commission, 2017, submission No 30 to the Senate Community Affairs Legislation Committee – Inquiry into the Social Services Legislation Amendment (Cashless Debit Card) Bill, October 2019, accessed at </w:t>
      </w:r>
      <w:hyperlink r:id="rId14" w:history="1">
        <w:r w:rsidRPr="00986E5C">
          <w:rPr>
            <w:rStyle w:val="Hyperlink"/>
          </w:rPr>
          <w:t>https://www.aph.gov.au/Parliamentary_Business/Committees/Senate/Community_Affairs/CashlessDebitCard</w:t>
        </w:r>
      </w:hyperlink>
    </w:p>
    <w:p w:rsidR="00986E5C" w:rsidRPr="00986E5C" w:rsidRDefault="00986E5C" w:rsidP="00986E5C">
      <w:hyperlink r:id="rId15" w:history="1">
        <w:r w:rsidRPr="00986E5C">
          <w:rPr>
            <w:rStyle w:val="Hyperlink"/>
          </w:rPr>
          <w:t>/Submissions</w:t>
        </w:r>
      </w:hyperlink>
    </w:p>
    <w:p w:rsidR="00986E5C" w:rsidRPr="00986E5C" w:rsidRDefault="00986E5C" w:rsidP="00986E5C">
      <w:r w:rsidRPr="00986E5C">
        <w:rPr>
          <w:vertAlign w:val="superscript"/>
        </w:rPr>
        <w:t>18</w:t>
      </w:r>
      <w:r w:rsidRPr="00986E5C">
        <w:t xml:space="preserve"> APO NT, Submission to the Senate Community Affairs Legislation Committee on the Social Security (Administration) Amendment (Continuation of Cashless Welfare) Bill 2020; United Nations Committee on the Elimination of Racial Discrimination, (2017) Concluding Observations on the eighteenth to twentieth periodic reports of Australia, UN doc CERD/C/AUS/CO/18-20 (8 December 2017) [23]</w:t>
      </w:r>
    </w:p>
    <w:p w:rsidR="00986E5C" w:rsidRPr="00986E5C" w:rsidRDefault="00986E5C" w:rsidP="00986E5C">
      <w:r w:rsidRPr="00986E5C">
        <w:rPr>
          <w:vertAlign w:val="superscript"/>
        </w:rPr>
        <w:t>19</w:t>
      </w:r>
      <w:r w:rsidRPr="00986E5C">
        <w:t xml:space="preserve"> Central Australian Aboriginal Congress,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w:t>
      </w:r>
    </w:p>
    <w:p w:rsidR="00986E5C" w:rsidRPr="00986E5C" w:rsidRDefault="00986E5C" w:rsidP="00986E5C">
      <w:r w:rsidRPr="00986E5C">
        <w:rPr>
          <w:vertAlign w:val="superscript"/>
        </w:rPr>
        <w:t>20</w:t>
      </w:r>
      <w:r w:rsidRPr="00986E5C">
        <w:t xml:space="preserve"> Australian Bureau of Statistics, 2015, National Aboriginal and Torres Strait Islander Social Survey 2014-15, </w:t>
      </w:r>
      <w:hyperlink r:id="rId16" w:history="1">
        <w:r w:rsidRPr="00986E5C">
          <w:rPr>
            <w:rStyle w:val="Hyperlink"/>
          </w:rPr>
          <w:t>http://www.abs.gov.au/AUSSTATS/abs@.nsf/DetailsPage/4714.0201415?OpenDocument#Publications</w:t>
        </w:r>
      </w:hyperlink>
    </w:p>
    <w:p w:rsidR="00986E5C" w:rsidRPr="00986E5C" w:rsidRDefault="00986E5C" w:rsidP="00986E5C">
      <w:r w:rsidRPr="00986E5C">
        <w:rPr>
          <w:vertAlign w:val="superscript"/>
        </w:rPr>
        <w:t>21</w:t>
      </w:r>
      <w:r w:rsidRPr="00986E5C">
        <w:t xml:space="preserve"> NTCOSS,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 (public);</w:t>
      </w:r>
    </w:p>
    <w:p w:rsidR="00986E5C" w:rsidRPr="00986E5C" w:rsidRDefault="00986E5C" w:rsidP="00986E5C">
      <w:r w:rsidRPr="00986E5C">
        <w:t xml:space="preserve">Australian Council of Social Service (ACOSS),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 - Surviving, not living: the (in)adequacy of </w:t>
      </w:r>
      <w:proofErr w:type="spellStart"/>
      <w:r w:rsidRPr="00986E5C">
        <w:t>Newstart</w:t>
      </w:r>
      <w:proofErr w:type="spellEnd"/>
      <w:r w:rsidRPr="00986E5C">
        <w:t xml:space="preserve"> and related payments; Central Australian Aboriginal Congress,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w:t>
      </w:r>
    </w:p>
    <w:p w:rsidR="00986E5C" w:rsidRPr="00986E5C" w:rsidRDefault="00986E5C" w:rsidP="00986E5C">
      <w:r w:rsidRPr="00986E5C">
        <w:rPr>
          <w:vertAlign w:val="superscript"/>
        </w:rPr>
        <w:t>22</w:t>
      </w:r>
      <w:r w:rsidRPr="00986E5C">
        <w:t xml:space="preserve"> Bray et al. 2014, Evaluating New Income Management in the Northern Territory</w:t>
      </w:r>
    </w:p>
    <w:p w:rsidR="00986E5C" w:rsidRPr="00986E5C" w:rsidRDefault="00986E5C" w:rsidP="00986E5C">
      <w:r w:rsidRPr="00986E5C">
        <w:rPr>
          <w:vertAlign w:val="superscript"/>
        </w:rPr>
        <w:t>23</w:t>
      </w:r>
      <w:r w:rsidRPr="00986E5C">
        <w:t xml:space="preserve"> Department of the Prime Minister and Cabinet, ‘An evaluation of the first two years of the Community Development Programme’, accessed at </w:t>
      </w:r>
      <w:hyperlink r:id="rId17" w:history="1">
        <w:r w:rsidRPr="00986E5C">
          <w:rPr>
            <w:rStyle w:val="Hyperlink"/>
          </w:rPr>
          <w:t>https://www.pmc.gov.au/sites/default/files/publications/cdp-</w:t>
        </w:r>
      </w:hyperlink>
      <w:r w:rsidRPr="00986E5C">
        <w:t xml:space="preserve"> </w:t>
      </w:r>
      <w:hyperlink r:id="rId18" w:history="1">
        <w:r w:rsidRPr="00986E5C">
          <w:rPr>
            <w:rStyle w:val="Hyperlink"/>
          </w:rPr>
          <w:t>evaluation-first-2-years.pdf</w:t>
        </w:r>
      </w:hyperlink>
    </w:p>
    <w:p w:rsidR="00986E5C" w:rsidRPr="00986E5C" w:rsidRDefault="00986E5C" w:rsidP="00986E5C">
      <w:r w:rsidRPr="00986E5C">
        <w:rPr>
          <w:vertAlign w:val="superscript"/>
        </w:rPr>
        <w:lastRenderedPageBreak/>
        <w:t>24</w:t>
      </w:r>
      <w:r w:rsidRPr="00986E5C">
        <w:t xml:space="preserve"> The Guardian, Work for the Dole an ‘intergenerational time bomb’ for Indigenous Communities, viewed September 2019, accessed at </w:t>
      </w:r>
      <w:hyperlink r:id="rId19" w:history="1">
        <w:r w:rsidRPr="00986E5C">
          <w:rPr>
            <w:rStyle w:val="Hyperlink"/>
          </w:rPr>
          <w:t>https://www.theguardian.com/australia-news/2018/oct/11/work-for-the-dole-</w:t>
        </w:r>
      </w:hyperlink>
      <w:r w:rsidRPr="00986E5C">
        <w:t xml:space="preserve"> </w:t>
      </w:r>
      <w:hyperlink r:id="rId20" w:history="1">
        <w:r w:rsidRPr="00986E5C">
          <w:rPr>
            <w:rStyle w:val="Hyperlink"/>
          </w:rPr>
          <w:t>an-intergenerational-time-bomb-for-indigenous-communities</w:t>
        </w:r>
      </w:hyperlink>
    </w:p>
    <w:p w:rsidR="00986E5C" w:rsidRPr="00986E5C" w:rsidRDefault="00986E5C" w:rsidP="00986E5C">
      <w:r w:rsidRPr="00986E5C">
        <w:rPr>
          <w:vertAlign w:val="superscript"/>
        </w:rPr>
        <w:t>25</w:t>
      </w:r>
      <w:r w:rsidRPr="00986E5C">
        <w:t xml:space="preserve"> Australian Government, National Indigenous Australian Agency, 2019, ‘The many pathways of the Community Development Programme’</w:t>
      </w:r>
    </w:p>
    <w:p w:rsidR="00986E5C" w:rsidRPr="00986E5C" w:rsidRDefault="00986E5C" w:rsidP="00986E5C">
      <w:r w:rsidRPr="00986E5C">
        <w:rPr>
          <w:vertAlign w:val="superscript"/>
        </w:rPr>
        <w:t>26</w:t>
      </w:r>
      <w:r w:rsidRPr="00986E5C">
        <w:t xml:space="preserve"> Department of the Prime Minister and Cabinet, An evaluation of the first two years of the Community Development Programme</w:t>
      </w:r>
    </w:p>
    <w:p w:rsidR="00986E5C" w:rsidRPr="00986E5C" w:rsidRDefault="00986E5C" w:rsidP="00986E5C">
      <w:r w:rsidRPr="00986E5C">
        <w:rPr>
          <w:vertAlign w:val="superscript"/>
        </w:rPr>
        <w:t>27</w:t>
      </w:r>
      <w:r w:rsidRPr="00986E5C">
        <w:t xml:space="preserve"> APO NT, Submission to the Senate Community Affairs Legislation Committee on the Social Security (Administration) Amendment (Continuation of Cashless Welfare) Bill 2020</w:t>
      </w:r>
    </w:p>
    <w:p w:rsidR="00986E5C" w:rsidRPr="00986E5C" w:rsidRDefault="00986E5C" w:rsidP="00986E5C">
      <w:r w:rsidRPr="00986E5C">
        <w:rPr>
          <w:vertAlign w:val="superscript"/>
        </w:rPr>
        <w:t>28</w:t>
      </w:r>
      <w:r w:rsidRPr="00986E5C">
        <w:t xml:space="preserve"> Ibid.</w:t>
      </w:r>
    </w:p>
    <w:p w:rsidR="00986E5C" w:rsidRPr="00986E5C" w:rsidRDefault="00986E5C" w:rsidP="00986E5C">
      <w:r w:rsidRPr="00986E5C">
        <w:rPr>
          <w:vertAlign w:val="superscript"/>
        </w:rPr>
        <w:t>29</w:t>
      </w:r>
      <w:r w:rsidRPr="00986E5C">
        <w:t xml:space="preserve"> APO NT, Submission to the Senate Community Affairs Legislation Committee on the Social Security (Administration) Amendment (Continuation of Cashless Welfare) Bill 2020</w:t>
      </w:r>
    </w:p>
    <w:p w:rsidR="00986E5C" w:rsidRPr="00986E5C" w:rsidRDefault="00986E5C" w:rsidP="00986E5C">
      <w:r w:rsidRPr="00986E5C">
        <w:rPr>
          <w:vertAlign w:val="superscript"/>
        </w:rPr>
        <w:t>30</w:t>
      </w:r>
      <w:r w:rsidRPr="00986E5C">
        <w:t xml:space="preserve"> Ibid.</w:t>
      </w:r>
    </w:p>
    <w:p w:rsidR="00986E5C" w:rsidRPr="00986E5C" w:rsidRDefault="00986E5C" w:rsidP="00986E5C">
      <w:r w:rsidRPr="00986E5C">
        <w:rPr>
          <w:vertAlign w:val="superscript"/>
        </w:rPr>
        <w:t>31</w:t>
      </w:r>
      <w:r w:rsidRPr="00986E5C">
        <w:t xml:space="preserve"> Australian Government. (2020). Cashless Debit Card Exit Application form (SS526), </w:t>
      </w:r>
      <w:hyperlink r:id="rId21" w:history="1">
        <w:r w:rsidRPr="00986E5C">
          <w:rPr>
            <w:rStyle w:val="Hyperlink"/>
          </w:rPr>
          <w:t>https://www.servicesaustralia.gov.au/individuals/forms/ss526</w:t>
        </w:r>
      </w:hyperlink>
    </w:p>
    <w:p w:rsidR="00986E5C" w:rsidRPr="00986E5C" w:rsidRDefault="00986E5C" w:rsidP="00986E5C">
      <w:r w:rsidRPr="00986E5C">
        <w:rPr>
          <w:vertAlign w:val="superscript"/>
        </w:rPr>
        <w:t>32</w:t>
      </w:r>
      <w:r w:rsidRPr="00986E5C">
        <w:t xml:space="preserve"> APO NT, Submission to the Senate Community Affairs Legislation Committee on the Social Security (Administration) Amendment (Continuation of Cashless Welfare) Bill 2020</w:t>
      </w:r>
    </w:p>
    <w:p w:rsidR="00986E5C" w:rsidRPr="00986E5C" w:rsidRDefault="00986E5C" w:rsidP="00986E5C">
      <w:r w:rsidRPr="00986E5C">
        <w:rPr>
          <w:vertAlign w:val="superscript"/>
        </w:rPr>
        <w:t>33</w:t>
      </w:r>
      <w:r w:rsidRPr="00986E5C">
        <w:t xml:space="preserve"> Bray et al. 2014, Evaluating New Income Management in the Northern Territory</w:t>
      </w:r>
    </w:p>
    <w:p w:rsidR="00986E5C" w:rsidRPr="00986E5C" w:rsidRDefault="00986E5C" w:rsidP="00986E5C">
      <w:r w:rsidRPr="00986E5C">
        <w:rPr>
          <w:vertAlign w:val="superscript"/>
        </w:rPr>
        <w:t>34</w:t>
      </w:r>
      <w:r w:rsidRPr="00986E5C">
        <w:t xml:space="preserve"> Ibid.</w:t>
      </w:r>
    </w:p>
    <w:p w:rsidR="00986E5C" w:rsidRPr="00986E5C" w:rsidRDefault="00986E5C" w:rsidP="00986E5C">
      <w:r w:rsidRPr="00986E5C">
        <w:rPr>
          <w:vertAlign w:val="superscript"/>
        </w:rPr>
        <w:t>35</w:t>
      </w:r>
      <w:r w:rsidRPr="00986E5C">
        <w:t xml:space="preserve"> </w:t>
      </w:r>
      <w:proofErr w:type="spellStart"/>
      <w:r w:rsidRPr="00986E5C">
        <w:t>Tangentyere</w:t>
      </w:r>
      <w:proofErr w:type="spellEnd"/>
      <w:r w:rsidRPr="00986E5C">
        <w:t xml:space="preserve"> Council, Senate Inquiry into the Social Security Amendment Bill 2019 – Income Management to Cashless Debit Card Transition, 2019</w:t>
      </w:r>
    </w:p>
    <w:p w:rsidR="007B2853" w:rsidRDefault="00986E5C"/>
    <w:p w:rsidR="00986E5C" w:rsidRPr="00986E5C" w:rsidRDefault="00986E5C" w:rsidP="00986E5C">
      <w:pPr>
        <w:rPr>
          <w:b/>
          <w:bCs/>
        </w:rPr>
      </w:pPr>
      <w:r w:rsidRPr="00986E5C">
        <w:rPr>
          <w:b/>
          <w:bCs/>
        </w:rPr>
        <w:t>References</w:t>
      </w:r>
    </w:p>
    <w:p w:rsidR="00986E5C" w:rsidRPr="00986E5C" w:rsidRDefault="00986E5C" w:rsidP="00986E5C">
      <w:pPr>
        <w:numPr>
          <w:ilvl w:val="0"/>
          <w:numId w:val="1"/>
        </w:numPr>
      </w:pPr>
      <w:r w:rsidRPr="00986E5C">
        <w:t>APO NT, Submission to the Senate Community Affairs Legislation Committee on the Social Security (Administration) Amendment (Continuation of Cashless Welfare) Bill 2020</w:t>
      </w:r>
    </w:p>
    <w:p w:rsidR="00986E5C" w:rsidRPr="00986E5C" w:rsidRDefault="00986E5C" w:rsidP="00986E5C">
      <w:pPr>
        <w:numPr>
          <w:ilvl w:val="0"/>
          <w:numId w:val="1"/>
        </w:numPr>
      </w:pPr>
      <w:r w:rsidRPr="00986E5C">
        <w:t>APO NT, Submission to the Senate Community Affairs Legislation Committee Social Security (Administration) Amendment (Income Management to Cashless Debit Card Transition) Bill 2019</w:t>
      </w:r>
    </w:p>
    <w:p w:rsidR="00986E5C" w:rsidRPr="00986E5C" w:rsidRDefault="00986E5C" w:rsidP="00986E5C">
      <w:pPr>
        <w:numPr>
          <w:ilvl w:val="0"/>
          <w:numId w:val="1"/>
        </w:numPr>
      </w:pPr>
      <w:r w:rsidRPr="00986E5C">
        <w:t xml:space="preserve">Australian Bureau of Statistics, 2015, National Aboriginal and Torres Strait Islander Social Survey 2014- 15, </w:t>
      </w:r>
      <w:hyperlink r:id="rId22" w:history="1">
        <w:r w:rsidRPr="00986E5C">
          <w:rPr>
            <w:rStyle w:val="Hyperlink"/>
          </w:rPr>
          <w:t>http://www.abs.gov.au/AUSSTATS/abs@.nsf/DetailsPage/4714.0201415?OpenDocument#Publication</w:t>
        </w:r>
      </w:hyperlink>
      <w:r w:rsidRPr="00986E5C">
        <w:t xml:space="preserve"> </w:t>
      </w:r>
      <w:hyperlink r:id="rId23" w:history="1">
        <w:r w:rsidRPr="00986E5C">
          <w:rPr>
            <w:rStyle w:val="Hyperlink"/>
          </w:rPr>
          <w:t>s</w:t>
        </w:r>
      </w:hyperlink>
    </w:p>
    <w:p w:rsidR="00986E5C" w:rsidRPr="00986E5C" w:rsidRDefault="00986E5C" w:rsidP="00986E5C">
      <w:pPr>
        <w:numPr>
          <w:ilvl w:val="0"/>
          <w:numId w:val="1"/>
        </w:numPr>
      </w:pPr>
      <w:r w:rsidRPr="00986E5C">
        <w:t xml:space="preserve">Australian Bureau of Statistics, 2016 Census </w:t>
      </w:r>
      <w:proofErr w:type="spellStart"/>
      <w:r w:rsidRPr="00986E5C">
        <w:t>QuickStats</w:t>
      </w:r>
      <w:proofErr w:type="spellEnd"/>
      <w:r w:rsidRPr="00986E5C">
        <w:t>, Northern Territory</w:t>
      </w:r>
    </w:p>
    <w:p w:rsidR="00986E5C" w:rsidRPr="00986E5C" w:rsidRDefault="00986E5C" w:rsidP="00986E5C">
      <w:pPr>
        <w:numPr>
          <w:ilvl w:val="0"/>
          <w:numId w:val="1"/>
        </w:numPr>
      </w:pPr>
      <w:r w:rsidRPr="00986E5C">
        <w:t xml:space="preserve">Australian Council of Social Service (ACOSS),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 - Surviving, not living: the (in)adequacy of </w:t>
      </w:r>
      <w:proofErr w:type="spellStart"/>
      <w:r w:rsidRPr="00986E5C">
        <w:t>Newstart</w:t>
      </w:r>
      <w:proofErr w:type="spellEnd"/>
      <w:r w:rsidRPr="00986E5C">
        <w:t xml:space="preserve"> and related payments;</w:t>
      </w:r>
    </w:p>
    <w:p w:rsidR="00986E5C" w:rsidRPr="00986E5C" w:rsidRDefault="00986E5C" w:rsidP="00986E5C">
      <w:pPr>
        <w:numPr>
          <w:ilvl w:val="0"/>
          <w:numId w:val="1"/>
        </w:numPr>
      </w:pPr>
      <w:r w:rsidRPr="00986E5C">
        <w:lastRenderedPageBreak/>
        <w:t>Australian Council of Social Service (ACOSS), Cashless Debit Card and Income Management Briefing Note 2020</w:t>
      </w:r>
    </w:p>
    <w:p w:rsidR="00986E5C" w:rsidRPr="00986E5C" w:rsidRDefault="00986E5C" w:rsidP="00986E5C">
      <w:pPr>
        <w:numPr>
          <w:ilvl w:val="0"/>
          <w:numId w:val="1"/>
        </w:numPr>
      </w:pPr>
      <w:r w:rsidRPr="00986E5C">
        <w:t xml:space="preserve">Australian Government, 2018, Income Management and Cashless Debit Card Summary, October 2019, accessed at </w:t>
      </w:r>
      <w:hyperlink r:id="rId24" w:history="1">
        <w:r w:rsidRPr="00986E5C">
          <w:rPr>
            <w:rStyle w:val="Hyperlink"/>
          </w:rPr>
          <w:t>https://data.gov.au/dataset/ds-dga-3b1f1fb7-adb5-48ea-8305- 9205df0a298c/distribution/dist-dga-986ef7fe-1ba8-460e-b1c4-2cf00145a948/details?q=</w:t>
        </w:r>
      </w:hyperlink>
    </w:p>
    <w:p w:rsidR="00986E5C" w:rsidRPr="00986E5C" w:rsidRDefault="00986E5C" w:rsidP="00986E5C">
      <w:pPr>
        <w:numPr>
          <w:ilvl w:val="0"/>
          <w:numId w:val="1"/>
        </w:numPr>
      </w:pPr>
      <w:r w:rsidRPr="00986E5C">
        <w:t>Australian Government, National Indigenous Australian Agency, 2019, ‘The many pathways of the Community Development Programme’</w:t>
      </w:r>
    </w:p>
    <w:p w:rsidR="00986E5C" w:rsidRPr="00986E5C" w:rsidRDefault="00986E5C" w:rsidP="00986E5C">
      <w:pPr>
        <w:numPr>
          <w:ilvl w:val="0"/>
          <w:numId w:val="1"/>
        </w:numPr>
      </w:pPr>
      <w:r w:rsidRPr="00986E5C">
        <w:t>Australian Government. (2020). Cashless Debit Card Exit Application form (SS526),</w:t>
      </w:r>
      <w:hyperlink r:id="rId25" w:history="1">
        <w:r w:rsidRPr="00986E5C">
          <w:rPr>
            <w:rStyle w:val="Hyperlink"/>
          </w:rPr>
          <w:t xml:space="preserve"> https://www.servicesaustralia.gov.au/individuals/forms/ss526</w:t>
        </w:r>
      </w:hyperlink>
    </w:p>
    <w:p w:rsidR="00986E5C" w:rsidRPr="00986E5C" w:rsidRDefault="00986E5C" w:rsidP="00986E5C">
      <w:pPr>
        <w:numPr>
          <w:ilvl w:val="0"/>
          <w:numId w:val="1"/>
        </w:numPr>
      </w:pPr>
      <w:r w:rsidRPr="00986E5C">
        <w:t>Australian Human Rights Commission, 2017, submission No 30 to the Senate Community Affairs Legislation Committee – Inquiry into the Social Services Legislation Amendment (Cashless Debit Card) Bill, October 2019, accessed at</w:t>
      </w:r>
      <w:hyperlink r:id="rId26" w:history="1">
        <w:r w:rsidRPr="00986E5C">
          <w:rPr>
            <w:rStyle w:val="Hyperlink"/>
          </w:rPr>
          <w:t xml:space="preserve"> https://www.aph.gov.au/Parliamentary_Business/Committees/Senate/Community_Affairs/CashlessD </w:t>
        </w:r>
        <w:proofErr w:type="spellStart"/>
        <w:r w:rsidRPr="00986E5C">
          <w:rPr>
            <w:rStyle w:val="Hyperlink"/>
          </w:rPr>
          <w:t>ebitCard</w:t>
        </w:r>
        <w:proofErr w:type="spellEnd"/>
        <w:r w:rsidRPr="00986E5C">
          <w:rPr>
            <w:rStyle w:val="Hyperlink"/>
          </w:rPr>
          <w:t>/Submissions</w:t>
        </w:r>
      </w:hyperlink>
    </w:p>
    <w:p w:rsidR="00986E5C" w:rsidRPr="00986E5C" w:rsidRDefault="00986E5C" w:rsidP="00986E5C">
      <w:pPr>
        <w:numPr>
          <w:ilvl w:val="0"/>
          <w:numId w:val="1"/>
        </w:numPr>
      </w:pPr>
      <w:r w:rsidRPr="00986E5C">
        <w:t>Australian National Audit Office, 2018, The Implementation and Performance of the Cashless Debit Card Trial</w:t>
      </w:r>
    </w:p>
    <w:p w:rsidR="00986E5C" w:rsidRPr="00986E5C" w:rsidRDefault="00986E5C" w:rsidP="00986E5C">
      <w:pPr>
        <w:numPr>
          <w:ilvl w:val="0"/>
          <w:numId w:val="1"/>
        </w:numPr>
      </w:pPr>
      <w:r w:rsidRPr="00986E5C">
        <w:t>Bray et al. 2014, Evaluating New Income Management in the Northern Territory, UNSW, Social Policy Research Centre</w:t>
      </w:r>
    </w:p>
    <w:p w:rsidR="00986E5C" w:rsidRPr="00986E5C" w:rsidRDefault="00986E5C" w:rsidP="00986E5C">
      <w:pPr>
        <w:numPr>
          <w:ilvl w:val="0"/>
          <w:numId w:val="1"/>
        </w:numPr>
      </w:pPr>
      <w:r w:rsidRPr="00986E5C">
        <w:t>Bray, R. J. (2016) ‘Seven years of evaluating income management – what have we learnt? Placing the findings of the New Income Management in the Northern Territory evaluation in context’, Australian Journal of Social Issues Vol.51 No.4, p. 464</w:t>
      </w:r>
    </w:p>
    <w:p w:rsidR="00986E5C" w:rsidRPr="00986E5C" w:rsidRDefault="00986E5C" w:rsidP="00986E5C">
      <w:pPr>
        <w:numPr>
          <w:ilvl w:val="0"/>
          <w:numId w:val="1"/>
        </w:numPr>
      </w:pPr>
      <w:r w:rsidRPr="00986E5C">
        <w:t xml:space="preserve">Central Australian Aboriginal Congress,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w:t>
      </w:r>
    </w:p>
    <w:p w:rsidR="00986E5C" w:rsidRPr="00986E5C" w:rsidRDefault="00986E5C" w:rsidP="00986E5C">
      <w:pPr>
        <w:numPr>
          <w:ilvl w:val="0"/>
          <w:numId w:val="1"/>
        </w:numPr>
      </w:pPr>
      <w:r w:rsidRPr="00986E5C">
        <w:t xml:space="preserve">Clark, D., </w:t>
      </w:r>
      <w:proofErr w:type="spellStart"/>
      <w:r w:rsidRPr="00986E5C">
        <w:t>Kettlewell</w:t>
      </w:r>
      <w:proofErr w:type="spellEnd"/>
      <w:r w:rsidRPr="00986E5C">
        <w:t xml:space="preserve">, N., </w:t>
      </w:r>
      <w:proofErr w:type="spellStart"/>
      <w:r w:rsidRPr="00986E5C">
        <w:t>Schurer</w:t>
      </w:r>
      <w:proofErr w:type="spellEnd"/>
      <w:r w:rsidRPr="00986E5C">
        <w:t xml:space="preserve">, S., &amp; </w:t>
      </w:r>
      <w:proofErr w:type="spellStart"/>
      <w:r w:rsidRPr="00986E5C">
        <w:t>Silburn</w:t>
      </w:r>
      <w:proofErr w:type="spellEnd"/>
      <w:r w:rsidRPr="00986E5C">
        <w:t xml:space="preserve">, S. (2017). The effect of quarantining welfare on school attendance in Indigenous communities. Life Course Centre Working Paper Series. </w:t>
      </w:r>
      <w:hyperlink r:id="rId27" w:history="1">
        <w:r w:rsidRPr="00986E5C">
          <w:rPr>
            <w:rStyle w:val="Hyperlink"/>
          </w:rPr>
          <w:t>https://www.lifecoursecentre.org.au/wp-content/uploads/2018/06/2017-22-LCC-Working-Paper-</w:t>
        </w:r>
      </w:hyperlink>
      <w:r w:rsidRPr="00986E5C">
        <w:t xml:space="preserve"> </w:t>
      </w:r>
      <w:hyperlink r:id="rId28" w:history="1">
        <w:r w:rsidRPr="00986E5C">
          <w:rPr>
            <w:rStyle w:val="Hyperlink"/>
          </w:rPr>
          <w:t>Cobb-Clark-et-</w:t>
        </w:r>
        <w:proofErr w:type="spellStart"/>
        <w:r w:rsidRPr="00986E5C">
          <w:rPr>
            <w:rStyle w:val="Hyperlink"/>
          </w:rPr>
          <w:t>al</w:t>
        </w:r>
        <w:proofErr w:type="gramStart"/>
        <w:r w:rsidRPr="00986E5C">
          <w:rPr>
            <w:rStyle w:val="Hyperlink"/>
          </w:rPr>
          <w:t>..</w:t>
        </w:r>
        <w:proofErr w:type="gramEnd"/>
        <w:r w:rsidRPr="00986E5C">
          <w:rPr>
            <w:rStyle w:val="Hyperlink"/>
          </w:rPr>
          <w:t>pdf</w:t>
        </w:r>
        <w:proofErr w:type="spellEnd"/>
      </w:hyperlink>
    </w:p>
    <w:p w:rsidR="00986E5C" w:rsidRPr="00986E5C" w:rsidRDefault="00986E5C" w:rsidP="00986E5C">
      <w:pPr>
        <w:numPr>
          <w:ilvl w:val="0"/>
          <w:numId w:val="2"/>
        </w:numPr>
      </w:pPr>
      <w:r w:rsidRPr="00986E5C">
        <w:t xml:space="preserve">Closing the Gap In Partnership, National Agreement on Closing the Gap: At a Glance, viewed October 2020, accessed at </w:t>
      </w:r>
      <w:hyperlink r:id="rId29" w:history="1">
        <w:r w:rsidRPr="00986E5C">
          <w:rPr>
            <w:rStyle w:val="Hyperlink"/>
          </w:rPr>
          <w:t>https://www.closingthegap.gov.au/national-agreement-closing-gap-glance</w:t>
        </w:r>
      </w:hyperlink>
    </w:p>
    <w:p w:rsidR="00986E5C" w:rsidRPr="00986E5C" w:rsidRDefault="00986E5C" w:rsidP="00986E5C">
      <w:pPr>
        <w:numPr>
          <w:ilvl w:val="0"/>
          <w:numId w:val="2"/>
        </w:numPr>
      </w:pPr>
      <w:r w:rsidRPr="00986E5C">
        <w:t>Department of the Prime Minister and Cabinet, ‘An evaluation of the first two years of the Community Development Programme’, accessed at</w:t>
      </w:r>
      <w:hyperlink r:id="rId30" w:history="1">
        <w:r w:rsidRPr="00986E5C">
          <w:rPr>
            <w:rStyle w:val="Hyperlink"/>
          </w:rPr>
          <w:t xml:space="preserve"> https://www.pmc.gov.au/sites/default/files/publications/cdp-evaluation-first-2-years.pdf</w:t>
        </w:r>
      </w:hyperlink>
    </w:p>
    <w:p w:rsidR="00986E5C" w:rsidRPr="00986E5C" w:rsidRDefault="00986E5C" w:rsidP="00986E5C">
      <w:pPr>
        <w:numPr>
          <w:ilvl w:val="0"/>
          <w:numId w:val="2"/>
        </w:numPr>
      </w:pPr>
      <w:r w:rsidRPr="00986E5C">
        <w:t>Department of the Prime Minister and Cabinet, An evaluation of the first two years of the Community Development Programme</w:t>
      </w:r>
    </w:p>
    <w:p w:rsidR="00986E5C" w:rsidRPr="00986E5C" w:rsidRDefault="00986E5C" w:rsidP="00986E5C">
      <w:pPr>
        <w:numPr>
          <w:ilvl w:val="0"/>
          <w:numId w:val="2"/>
        </w:numPr>
      </w:pPr>
      <w:r w:rsidRPr="00986E5C">
        <w:t xml:space="preserve">Doyle, M., </w:t>
      </w:r>
      <w:proofErr w:type="spellStart"/>
      <w:r w:rsidRPr="00986E5C">
        <w:t>Schurer</w:t>
      </w:r>
      <w:proofErr w:type="spellEnd"/>
      <w:r w:rsidRPr="00986E5C">
        <w:t xml:space="preserve">, S., &amp; </w:t>
      </w:r>
      <w:proofErr w:type="spellStart"/>
      <w:r w:rsidRPr="00986E5C">
        <w:t>Silburn</w:t>
      </w:r>
      <w:proofErr w:type="spellEnd"/>
      <w:r w:rsidRPr="00986E5C">
        <w:t>, S. (2019). Why does income quarantining worsen birth outcomes in Indigenous communities?, Conference paper for presentation at the NBER workshop Indigenous Health, Wellbeing, and Children's Outcomes, Boston Massachusetts, November 2019. University of Sydney, Institute for the Study of Labour, Menzies School of Health Research;</w:t>
      </w:r>
    </w:p>
    <w:p w:rsidR="00986E5C" w:rsidRPr="00986E5C" w:rsidRDefault="00986E5C" w:rsidP="00986E5C">
      <w:pPr>
        <w:numPr>
          <w:ilvl w:val="0"/>
          <w:numId w:val="2"/>
        </w:numPr>
      </w:pPr>
      <w:r w:rsidRPr="00986E5C">
        <w:lastRenderedPageBreak/>
        <w:t>Explanatory Memorandum, Social Security and Other Legislation (Welfare Payment Reform) Bill 2007, p. 5 https://quickstats.censusdata.abs.gov.au/census_services/getproduct/census/2016/quickstat/7?open document accessed 18th June 2019; Aboriginal languages in NT https://nt.gov.au/community/interpreting-and-translating-services/aboriginal-interpreter- service/aboriginal-languages-in-</w:t>
      </w:r>
      <w:proofErr w:type="spellStart"/>
      <w:r w:rsidRPr="00986E5C">
        <w:t>nt</w:t>
      </w:r>
      <w:proofErr w:type="spellEnd"/>
      <w:r w:rsidRPr="00986E5C">
        <w:t>, accessed 18th June 2019</w:t>
      </w:r>
    </w:p>
    <w:p w:rsidR="00986E5C" w:rsidRPr="00986E5C" w:rsidRDefault="00986E5C" w:rsidP="00986E5C">
      <w:pPr>
        <w:numPr>
          <w:ilvl w:val="0"/>
          <w:numId w:val="3"/>
        </w:numPr>
      </w:pPr>
      <w:r w:rsidRPr="00986E5C">
        <w:t xml:space="preserve">Klein E and </w:t>
      </w:r>
      <w:proofErr w:type="spellStart"/>
      <w:r w:rsidRPr="00986E5C">
        <w:t>Razi</w:t>
      </w:r>
      <w:proofErr w:type="spellEnd"/>
      <w:r w:rsidRPr="00986E5C">
        <w:t xml:space="preserve"> S, 2017, The Cashless Debit Card Trial in the East Kimberley</w:t>
      </w:r>
    </w:p>
    <w:p w:rsidR="00986E5C" w:rsidRPr="00986E5C" w:rsidRDefault="00986E5C" w:rsidP="00986E5C">
      <w:pPr>
        <w:numPr>
          <w:ilvl w:val="0"/>
          <w:numId w:val="3"/>
        </w:numPr>
      </w:pPr>
      <w:r w:rsidRPr="00986E5C">
        <w:t xml:space="preserve">Marston, G., Mendes, P., Bielefeld, S., </w:t>
      </w:r>
      <w:proofErr w:type="spellStart"/>
      <w:r w:rsidRPr="00986E5C">
        <w:t>Peterie</w:t>
      </w:r>
      <w:proofErr w:type="spellEnd"/>
      <w:r w:rsidRPr="00986E5C">
        <w:t xml:space="preserve">, M., Staines, R., &amp; Roche, S. (2020). Hidden costs: An independent study into Income Management in Australia. University of Queensland </w:t>
      </w:r>
      <w:hyperlink r:id="rId31" w:history="1">
        <w:r w:rsidRPr="00986E5C">
          <w:rPr>
            <w:rStyle w:val="Hyperlink"/>
          </w:rPr>
          <w:t>https://research.monash.edu/en/publications/hidden-costs-an-independent-study-into-income-</w:t>
        </w:r>
      </w:hyperlink>
      <w:r w:rsidRPr="00986E5C">
        <w:t xml:space="preserve"> </w:t>
      </w:r>
      <w:hyperlink r:id="rId32" w:history="1">
        <w:r w:rsidRPr="00986E5C">
          <w:rPr>
            <w:rStyle w:val="Hyperlink"/>
          </w:rPr>
          <w:t>management-in-</w:t>
        </w:r>
        <w:proofErr w:type="spellStart"/>
        <w:r w:rsidRPr="00986E5C">
          <w:rPr>
            <w:rStyle w:val="Hyperlink"/>
          </w:rPr>
          <w:t>austr</w:t>
        </w:r>
        <w:proofErr w:type="spellEnd"/>
      </w:hyperlink>
    </w:p>
    <w:p w:rsidR="00986E5C" w:rsidRPr="00986E5C" w:rsidRDefault="00986E5C" w:rsidP="00986E5C">
      <w:pPr>
        <w:numPr>
          <w:ilvl w:val="0"/>
          <w:numId w:val="4"/>
        </w:numPr>
      </w:pPr>
      <w:r w:rsidRPr="00986E5C">
        <w:t xml:space="preserve">NTCOSS, 2019, Submission to the Senate Inquiry into the Adequacy of </w:t>
      </w:r>
      <w:proofErr w:type="spellStart"/>
      <w:r w:rsidRPr="00986E5C">
        <w:t>Newstart</w:t>
      </w:r>
      <w:proofErr w:type="spellEnd"/>
      <w:r w:rsidRPr="00986E5C">
        <w:t xml:space="preserve"> and Related Payments and Alternative Mechanisms to Determine the Level of Income Support Payments in Australia (public)</w:t>
      </w:r>
    </w:p>
    <w:p w:rsidR="00986E5C" w:rsidRPr="00986E5C" w:rsidRDefault="00986E5C" w:rsidP="00986E5C">
      <w:pPr>
        <w:numPr>
          <w:ilvl w:val="0"/>
          <w:numId w:val="4"/>
        </w:numPr>
      </w:pPr>
      <w:r w:rsidRPr="00986E5C">
        <w:t>Parliamentary Joint Committee on Human Rights, Human Rights Scrutiny Report, Report no 27/2015, 8 September 2015; Parliamentary Joint Committee on Human Rights, Human Rights Scrutiny Report, Report no 9/2017, 5 September 2017</w:t>
      </w:r>
    </w:p>
    <w:p w:rsidR="00986E5C" w:rsidRPr="00986E5C" w:rsidRDefault="00986E5C" w:rsidP="00986E5C">
      <w:pPr>
        <w:numPr>
          <w:ilvl w:val="0"/>
          <w:numId w:val="4"/>
        </w:numPr>
      </w:pPr>
      <w:proofErr w:type="spellStart"/>
      <w:r w:rsidRPr="00986E5C">
        <w:t>Tangentyere</w:t>
      </w:r>
      <w:proofErr w:type="spellEnd"/>
      <w:r w:rsidRPr="00986E5C">
        <w:t xml:space="preserve"> Council, Senate Inquiry into the Social Security Amendment Bill 2019 – Income Management to Cashless Debit Card Transition, 2019</w:t>
      </w:r>
    </w:p>
    <w:p w:rsidR="00986E5C" w:rsidRPr="00986E5C" w:rsidRDefault="00986E5C" w:rsidP="00986E5C">
      <w:pPr>
        <w:numPr>
          <w:ilvl w:val="0"/>
          <w:numId w:val="4"/>
        </w:numPr>
      </w:pPr>
      <w:r w:rsidRPr="00986E5C">
        <w:t xml:space="preserve">The Guardian, Work for the Dole an ‘intergenerational time bomb’ for Indigenous Communities, viewed September 2019, accessed at </w:t>
      </w:r>
      <w:hyperlink r:id="rId33" w:history="1">
        <w:r w:rsidRPr="00986E5C">
          <w:rPr>
            <w:rStyle w:val="Hyperlink"/>
          </w:rPr>
          <w:t>https://www.theguardian.com/australia- news/2018/oct/11/work-for-the-dole-an-intergenerational-time-bomb-for-indigenous-communities</w:t>
        </w:r>
      </w:hyperlink>
    </w:p>
    <w:p w:rsidR="00986E5C" w:rsidRPr="00986E5C" w:rsidRDefault="00986E5C" w:rsidP="00986E5C">
      <w:pPr>
        <w:numPr>
          <w:ilvl w:val="0"/>
          <w:numId w:val="4"/>
        </w:numPr>
      </w:pPr>
      <w:r w:rsidRPr="00986E5C">
        <w:t>United Nations Committee on the Elimination of Racial Discrimination, 2017, Concluding observations on the eighteenth to twentieth periodic reports of Australia, October 2019, accessed at</w:t>
      </w:r>
      <w:hyperlink r:id="rId34" w:history="1">
        <w:r w:rsidRPr="00986E5C">
          <w:rPr>
            <w:rStyle w:val="Hyperlink"/>
          </w:rPr>
          <w:t xml:space="preserve"> https://tbinternet.ohchr.org/Treaties/CERD/Shared%20Documents/AUS/CERD_C_AUS_CO_18- 20_29700_E.pdf;</w:t>
        </w:r>
      </w:hyperlink>
    </w:p>
    <w:p w:rsidR="00986E5C" w:rsidRPr="00986E5C" w:rsidRDefault="00986E5C" w:rsidP="00986E5C">
      <w:pPr>
        <w:numPr>
          <w:ilvl w:val="0"/>
          <w:numId w:val="4"/>
        </w:numPr>
      </w:pPr>
      <w:r w:rsidRPr="00986E5C">
        <w:t>United Nations Committee on the Elimination of Racial Discrimination, (2017) Concluding Observations on the eighteenth to twentieth periodic reports of Australia, UN doc CERD/C/AUS/CO/18-20 (8 December 2017) [23]</w:t>
      </w:r>
    </w:p>
    <w:p w:rsidR="00986E5C" w:rsidRDefault="00986E5C">
      <w:bookmarkStart w:id="0" w:name="_GoBack"/>
      <w:bookmarkEnd w:id="0"/>
    </w:p>
    <w:sectPr w:rsidR="0098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78A8"/>
    <w:multiLevelType w:val="multilevel"/>
    <w:tmpl w:val="5390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D0CB1"/>
    <w:multiLevelType w:val="multilevel"/>
    <w:tmpl w:val="4E5E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31507"/>
    <w:multiLevelType w:val="multilevel"/>
    <w:tmpl w:val="B24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B740A"/>
    <w:multiLevelType w:val="multilevel"/>
    <w:tmpl w:val="D18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C"/>
    <w:rsid w:val="006C4F48"/>
    <w:rsid w:val="00986E5C"/>
    <w:rsid w:val="00F60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E091"/>
  <w15:chartTrackingRefBased/>
  <w15:docId w15:val="{4C076FB3-4390-4CD6-9B4E-2720A9C9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1533">
      <w:bodyDiv w:val="1"/>
      <w:marLeft w:val="0"/>
      <w:marRight w:val="0"/>
      <w:marTop w:val="0"/>
      <w:marBottom w:val="0"/>
      <w:divBdr>
        <w:top w:val="none" w:sz="0" w:space="0" w:color="auto"/>
        <w:left w:val="none" w:sz="0" w:space="0" w:color="auto"/>
        <w:bottom w:val="none" w:sz="0" w:space="0" w:color="auto"/>
        <w:right w:val="none" w:sz="0" w:space="0" w:color="auto"/>
      </w:divBdr>
    </w:div>
    <w:div w:id="344207764">
      <w:bodyDiv w:val="1"/>
      <w:marLeft w:val="0"/>
      <w:marRight w:val="0"/>
      <w:marTop w:val="0"/>
      <w:marBottom w:val="0"/>
      <w:divBdr>
        <w:top w:val="none" w:sz="0" w:space="0" w:color="auto"/>
        <w:left w:val="none" w:sz="0" w:space="0" w:color="auto"/>
        <w:bottom w:val="none" w:sz="0" w:space="0" w:color="auto"/>
        <w:right w:val="none" w:sz="0" w:space="0" w:color="auto"/>
      </w:divBdr>
    </w:div>
    <w:div w:id="405539110">
      <w:bodyDiv w:val="1"/>
      <w:marLeft w:val="0"/>
      <w:marRight w:val="0"/>
      <w:marTop w:val="0"/>
      <w:marBottom w:val="0"/>
      <w:divBdr>
        <w:top w:val="none" w:sz="0" w:space="0" w:color="auto"/>
        <w:left w:val="none" w:sz="0" w:space="0" w:color="auto"/>
        <w:bottom w:val="none" w:sz="0" w:space="0" w:color="auto"/>
        <w:right w:val="none" w:sz="0" w:space="0" w:color="auto"/>
      </w:divBdr>
    </w:div>
    <w:div w:id="759789127">
      <w:bodyDiv w:val="1"/>
      <w:marLeft w:val="0"/>
      <w:marRight w:val="0"/>
      <w:marTop w:val="0"/>
      <w:marBottom w:val="0"/>
      <w:divBdr>
        <w:top w:val="none" w:sz="0" w:space="0" w:color="auto"/>
        <w:left w:val="none" w:sz="0" w:space="0" w:color="auto"/>
        <w:bottom w:val="none" w:sz="0" w:space="0" w:color="auto"/>
        <w:right w:val="none" w:sz="0" w:space="0" w:color="auto"/>
      </w:divBdr>
    </w:div>
    <w:div w:id="1371489031">
      <w:bodyDiv w:val="1"/>
      <w:marLeft w:val="0"/>
      <w:marRight w:val="0"/>
      <w:marTop w:val="0"/>
      <w:marBottom w:val="0"/>
      <w:divBdr>
        <w:top w:val="none" w:sz="0" w:space="0" w:color="auto"/>
        <w:left w:val="none" w:sz="0" w:space="0" w:color="auto"/>
        <w:bottom w:val="none" w:sz="0" w:space="0" w:color="auto"/>
        <w:right w:val="none" w:sz="0" w:space="0" w:color="auto"/>
      </w:divBdr>
    </w:div>
    <w:div w:id="1501461959">
      <w:bodyDiv w:val="1"/>
      <w:marLeft w:val="0"/>
      <w:marRight w:val="0"/>
      <w:marTop w:val="0"/>
      <w:marBottom w:val="0"/>
      <w:divBdr>
        <w:top w:val="none" w:sz="0" w:space="0" w:color="auto"/>
        <w:left w:val="none" w:sz="0" w:space="0" w:color="auto"/>
        <w:bottom w:val="none" w:sz="0" w:space="0" w:color="auto"/>
        <w:right w:val="none" w:sz="0" w:space="0" w:color="auto"/>
      </w:divBdr>
    </w:div>
    <w:div w:id="1577398398">
      <w:bodyDiv w:val="1"/>
      <w:marLeft w:val="0"/>
      <w:marRight w:val="0"/>
      <w:marTop w:val="0"/>
      <w:marBottom w:val="0"/>
      <w:divBdr>
        <w:top w:val="none" w:sz="0" w:space="0" w:color="auto"/>
        <w:left w:val="none" w:sz="0" w:space="0" w:color="auto"/>
        <w:bottom w:val="none" w:sz="0" w:space="0" w:color="auto"/>
        <w:right w:val="none" w:sz="0" w:space="0" w:color="auto"/>
      </w:divBdr>
    </w:div>
    <w:div w:id="21006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coursecentre.org.au/wp-content/uploads/2018/06/2017-22-LCC-Working-Paper-Cobb-Clark-et-al..pdf" TargetMode="External"/><Relationship Id="rId13" Type="http://schemas.openxmlformats.org/officeDocument/2006/relationships/hyperlink" Target="https://tbinternet.ohchr.org/Treaties/CERD/Shared%20Documents/AUS/CERD_C_AUS_CO_18-20_29700_E.pdf" TargetMode="External"/><Relationship Id="rId18" Type="http://schemas.openxmlformats.org/officeDocument/2006/relationships/hyperlink" Target="https://www.pmc.gov.au/sites/default/files/publications/cdp-evaluation-first-2-years.pdf" TargetMode="External"/><Relationship Id="rId26" Type="http://schemas.openxmlformats.org/officeDocument/2006/relationships/hyperlink" Target="https://www.aph.gov.au/Parliamentary_Business/Committees/Senate/Community_Affairs/CashlessDebitCard/Submissions" TargetMode="External"/><Relationship Id="rId3" Type="http://schemas.openxmlformats.org/officeDocument/2006/relationships/settings" Target="settings.xml"/><Relationship Id="rId21" Type="http://schemas.openxmlformats.org/officeDocument/2006/relationships/hyperlink" Target="https://www.servicesaustralia.gov.au/individuals/forms/ss526" TargetMode="External"/><Relationship Id="rId34" Type="http://schemas.openxmlformats.org/officeDocument/2006/relationships/hyperlink" Target="https://tbinternet.ohchr.org/Treaties/CERD/Shared%20Documents/AUS/CERD_C_AUS_CO_18-20_29700_E.pdf" TargetMode="External"/><Relationship Id="rId7" Type="http://schemas.openxmlformats.org/officeDocument/2006/relationships/hyperlink" Target="https://www.lifecoursecentre.org.au/wp-content/uploads/2018/06/2017-22-LCC-Working-Paper-Cobb-Clark-et-al..pdf" TargetMode="External"/><Relationship Id="rId12" Type="http://schemas.openxmlformats.org/officeDocument/2006/relationships/hyperlink" Target="https://tbinternet.ohchr.org/Treaties/CERD/Shared%20Documents/AUS/CERD_C_AUS_CO_18-20_29700_E.pdf" TargetMode="External"/><Relationship Id="rId17" Type="http://schemas.openxmlformats.org/officeDocument/2006/relationships/hyperlink" Target="https://www.pmc.gov.au/sites/default/files/publications/cdp-evaluation-first-2-years.pdf" TargetMode="External"/><Relationship Id="rId25" Type="http://schemas.openxmlformats.org/officeDocument/2006/relationships/hyperlink" Target="https://www.servicesaustralia.gov.au/individuals/forms/ss526" TargetMode="External"/><Relationship Id="rId33" Type="http://schemas.openxmlformats.org/officeDocument/2006/relationships/hyperlink" Target="https://www.theguardian.com/australia-news/2018/oct/11/work-for-the-dole-an-intergenerational-time-bomb-for-indigenous-communities" TargetMode="External"/><Relationship Id="rId2" Type="http://schemas.openxmlformats.org/officeDocument/2006/relationships/styles" Target="styles.xml"/><Relationship Id="rId16" Type="http://schemas.openxmlformats.org/officeDocument/2006/relationships/hyperlink" Target="http://www.abs.gov.au/AUSSTATS/abs%40.nsf/DetailsPage/4714.0201415?OpenDocument&amp;Publications" TargetMode="External"/><Relationship Id="rId20" Type="http://schemas.openxmlformats.org/officeDocument/2006/relationships/hyperlink" Target="https://www.theguardian.com/australia-news/2018/oct/11/work-for-the-dole-an-intergenerational-time-bomb-for-indigenous-communities" TargetMode="External"/><Relationship Id="rId29" Type="http://schemas.openxmlformats.org/officeDocument/2006/relationships/hyperlink" Target="https://www.closingthegap.gov.au/national-agreement-closing-gap-glance" TargetMode="External"/><Relationship Id="rId1" Type="http://schemas.openxmlformats.org/officeDocument/2006/relationships/numbering" Target="numbering.xml"/><Relationship Id="rId6" Type="http://schemas.openxmlformats.org/officeDocument/2006/relationships/hyperlink" Target="https://data.gov.au/dataset/ds-dga-3b1f1fb7-adb5-48ea-8305-9205df0a298c/distribution/dist-dga-986ef7fe-1ba8-460e-b1c4-2cf00145a948/details?q" TargetMode="External"/><Relationship Id="rId11" Type="http://schemas.openxmlformats.org/officeDocument/2006/relationships/hyperlink" Target="https://www.closingthegap.gov.au/national-agreement-closing-gap-glance" TargetMode="External"/><Relationship Id="rId24" Type="http://schemas.openxmlformats.org/officeDocument/2006/relationships/hyperlink" Target="https://data.gov.au/dataset/ds-dga-3b1f1fb7-adb5-48ea-8305-9205df0a298c/distribution/dist-dga-986ef7fe-1ba8-460e-b1c4-2cf00145a948/details?q" TargetMode="External"/><Relationship Id="rId32" Type="http://schemas.openxmlformats.org/officeDocument/2006/relationships/hyperlink" Target="https://research.monash.edu/en/publications/hidden-costs-an-independent-study-into-income-management-in-austr" TargetMode="External"/><Relationship Id="rId5" Type="http://schemas.openxmlformats.org/officeDocument/2006/relationships/hyperlink" Target="https://data.gov.au/dataset/ds-dga-3b1f1fb7-adb5-48ea-8305-9205df0a298c/distribution/dist-dga-986ef7fe-1ba8-460e-b1c4-2cf00145a948/details?q" TargetMode="External"/><Relationship Id="rId15" Type="http://schemas.openxmlformats.org/officeDocument/2006/relationships/hyperlink" Target="https://www.aph.gov.au/Parliamentary_Business/Committees/Senate/Community_Affairs/CashlessDebitCard/Submissions" TargetMode="External"/><Relationship Id="rId23" Type="http://schemas.openxmlformats.org/officeDocument/2006/relationships/hyperlink" Target="http://www.abs.gov.au/AUSSTATS/abs%40.nsf/DetailsPage/4714.0201415?OpenDocument&amp;Publications" TargetMode="External"/><Relationship Id="rId28" Type="http://schemas.openxmlformats.org/officeDocument/2006/relationships/hyperlink" Target="https://www.lifecoursecentre.org.au/wp-content/uploads/2018/06/2017-22-LCC-Working-Paper-Cobb-Clark-et-al..pdf" TargetMode="External"/><Relationship Id="rId36" Type="http://schemas.openxmlformats.org/officeDocument/2006/relationships/theme" Target="theme/theme1.xml"/><Relationship Id="rId10" Type="http://schemas.openxmlformats.org/officeDocument/2006/relationships/hyperlink" Target="https://research.monash.edu/en/publications/hidden-costs-an-independent-study-into-income-management-in-austr" TargetMode="External"/><Relationship Id="rId19" Type="http://schemas.openxmlformats.org/officeDocument/2006/relationships/hyperlink" Target="https://www.theguardian.com/australia-news/2018/oct/11/work-for-the-dole-an-intergenerational-time-bomb-for-indigenous-communities" TargetMode="External"/><Relationship Id="rId31" Type="http://schemas.openxmlformats.org/officeDocument/2006/relationships/hyperlink" Target="https://research.monash.edu/en/publications/hidden-costs-an-independent-study-into-income-management-in-austr" TargetMode="External"/><Relationship Id="rId4" Type="http://schemas.openxmlformats.org/officeDocument/2006/relationships/webSettings" Target="webSettings.xml"/><Relationship Id="rId9" Type="http://schemas.openxmlformats.org/officeDocument/2006/relationships/hyperlink" Target="https://research.monash.edu/en/publications/hidden-costs-an-independent-study-into-income-management-in-austr" TargetMode="External"/><Relationship Id="rId14" Type="http://schemas.openxmlformats.org/officeDocument/2006/relationships/hyperlink" Target="https://www.aph.gov.au/Parliamentary_Business/Committees/Senate/Community_Affairs/CashlessDebitCard/Submissions" TargetMode="External"/><Relationship Id="rId22" Type="http://schemas.openxmlformats.org/officeDocument/2006/relationships/hyperlink" Target="http://www.abs.gov.au/AUSSTATS/abs%40.nsf/DetailsPage/4714.0201415?OpenDocument&amp;Publications" TargetMode="External"/><Relationship Id="rId27" Type="http://schemas.openxmlformats.org/officeDocument/2006/relationships/hyperlink" Target="https://www.lifecoursecentre.org.au/wp-content/uploads/2018/06/2017-22-LCC-Working-Paper-Cobb-Clark-et-al..pdf" TargetMode="External"/><Relationship Id="rId30" Type="http://schemas.openxmlformats.org/officeDocument/2006/relationships/hyperlink" Target="https://www.pmc.gov.au/sites/default/files/publications/cdp-evaluation-first-2-year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2020-11-03T01:20:00Z</dcterms:created>
  <dcterms:modified xsi:type="dcterms:W3CDTF">2020-11-03T01:26:00Z</dcterms:modified>
</cp:coreProperties>
</file>