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A2" w:rsidRDefault="002C0CA2" w:rsidP="002C0CA2">
      <w:r>
        <w:t>1 Victorian Law Reform Commission, Review of the Victims of Crime Assistance Act 1996, Melbourne, Victoria: Victorian Law Reform Commission, 2018.</w:t>
      </w:r>
    </w:p>
    <w:p w:rsidR="002C0CA2" w:rsidRDefault="002C0CA2" w:rsidP="002C0CA2"/>
    <w:p w:rsidR="007B2853" w:rsidRDefault="002C0CA2" w:rsidP="002C0CA2">
      <w:r>
        <w:t>2 Forster, Christine. “Good Law or Bad Lore? The Efficacy of Criminal Injuries Compensation Schemes for Victims of Sexual Abuse: A New Model of Sexual Assault Provisions.” UWA Law Review 32, no.2 (2004-2005): 264-297.</w:t>
      </w:r>
    </w:p>
    <w:p w:rsidR="002C0CA2" w:rsidRDefault="002C0CA2" w:rsidP="002C0CA2"/>
    <w:p w:rsidR="002C0CA2" w:rsidRPr="002C0CA2" w:rsidRDefault="002C0CA2" w:rsidP="002C0CA2">
      <w:r w:rsidRPr="002C0CA2">
        <w:t xml:space="preserve">3 Wedlock, Elaine and </w:t>
      </w:r>
      <w:proofErr w:type="spellStart"/>
      <w:r w:rsidRPr="002C0CA2">
        <w:t>Tapley</w:t>
      </w:r>
      <w:proofErr w:type="spellEnd"/>
      <w:r w:rsidRPr="002C0CA2">
        <w:t xml:space="preserve">, Jacki. </w:t>
      </w:r>
      <w:r w:rsidRPr="002C0CA2">
        <w:rPr>
          <w:i/>
          <w:iCs/>
        </w:rPr>
        <w:t xml:space="preserve">What Works in Supporting Victims of Crime: A Rapid Evidence Assessment, </w:t>
      </w:r>
      <w:r w:rsidRPr="002C0CA2">
        <w:t>London: Victims’ Commissioner/University of Portsmouth, 2016.</w:t>
      </w:r>
    </w:p>
    <w:p w:rsidR="002C0CA2" w:rsidRPr="002C0CA2" w:rsidRDefault="002C0CA2" w:rsidP="002C0CA2">
      <w:r w:rsidRPr="002C0CA2">
        <w:t xml:space="preserve">4 Australian Institute of Criminology. “Homeless people: their risk of victimisation”. </w:t>
      </w:r>
      <w:proofErr w:type="spellStart"/>
      <w:r w:rsidRPr="002C0CA2">
        <w:rPr>
          <w:i/>
          <w:iCs/>
        </w:rPr>
        <w:t>AICrime</w:t>
      </w:r>
      <w:proofErr w:type="spellEnd"/>
      <w:r w:rsidRPr="002C0CA2">
        <w:rPr>
          <w:i/>
          <w:iCs/>
        </w:rPr>
        <w:t xml:space="preserve"> Reduction Matters </w:t>
      </w:r>
      <w:r w:rsidRPr="002C0CA2">
        <w:t>No.66 (2008).</w:t>
      </w:r>
    </w:p>
    <w:p w:rsidR="002C0CA2" w:rsidRPr="002C0CA2" w:rsidRDefault="002C0CA2" w:rsidP="002C0CA2">
      <w:r w:rsidRPr="002C0CA2">
        <w:t xml:space="preserve">5 Johnson, Guy and Wylie, Nicola. </w:t>
      </w:r>
      <w:r w:rsidRPr="002C0CA2">
        <w:rPr>
          <w:i/>
          <w:iCs/>
        </w:rPr>
        <w:t xml:space="preserve">This is not Living: Chronic homelessness in Melbourne, </w:t>
      </w:r>
      <w:r w:rsidRPr="002C0CA2">
        <w:t>Melbourne: Australian Housing and Urban Research Institute, RMIT University/Sacred Heart Mission, 2010.</w:t>
      </w:r>
    </w:p>
    <w:p w:rsidR="002C0CA2" w:rsidRPr="002C0CA2" w:rsidRDefault="002C0CA2" w:rsidP="002C0CA2">
      <w:r w:rsidRPr="002C0CA2">
        <w:t xml:space="preserve">6 Johnson, Guy, </w:t>
      </w:r>
      <w:proofErr w:type="spellStart"/>
      <w:r w:rsidRPr="002C0CA2">
        <w:t>Ribar</w:t>
      </w:r>
      <w:proofErr w:type="spellEnd"/>
      <w:r w:rsidRPr="002C0CA2">
        <w:t>, David C. and Zhu, Anna. “Women’s Homelessness: International Evidence on Causes, Consequences, Coping and Policies”. Melbourne Institute Working Paper Series, Working Paper No.7/17, Melbourne: Melbourne Institute of Applied Economic and Social Research, University of Melbourne.</w:t>
      </w:r>
    </w:p>
    <w:p w:rsidR="002C0CA2" w:rsidRPr="002C0CA2" w:rsidRDefault="002C0CA2" w:rsidP="002C0CA2">
      <w:r w:rsidRPr="002C0CA2">
        <w:t xml:space="preserve">7 Davies, Pamela, Francis, Peter and Greer, Chris. </w:t>
      </w:r>
      <w:r w:rsidRPr="002C0CA2">
        <w:rPr>
          <w:i/>
          <w:iCs/>
        </w:rPr>
        <w:t xml:space="preserve">Victims, Crime &amp; Society: An Introduction. </w:t>
      </w:r>
      <w:r w:rsidRPr="002C0CA2">
        <w:t>2</w:t>
      </w:r>
      <w:r w:rsidRPr="002C0CA2">
        <w:rPr>
          <w:vertAlign w:val="superscript"/>
        </w:rPr>
        <w:t>nd</w:t>
      </w:r>
      <w:r w:rsidRPr="002C0CA2">
        <w:t xml:space="preserve"> ed. London: SAGE Publications Ltd, 2017. 8 </w:t>
      </w:r>
      <w:proofErr w:type="spellStart"/>
      <w:r w:rsidRPr="002C0CA2">
        <w:t>Weatherburn</w:t>
      </w:r>
      <w:proofErr w:type="spellEnd"/>
      <w:r w:rsidRPr="002C0CA2">
        <w:t xml:space="preserve">, Don. </w:t>
      </w:r>
      <w:r w:rsidRPr="002C0CA2">
        <w:rPr>
          <w:i/>
          <w:iCs/>
        </w:rPr>
        <w:t xml:space="preserve">Law and Order in Australia: Rhetoric and Reality. </w:t>
      </w:r>
      <w:r w:rsidRPr="002C0CA2">
        <w:t xml:space="preserve">Sydney: The Federation Press, 2004; Rose, David. “Poverty and Crime”. In ed. </w:t>
      </w:r>
      <w:proofErr w:type="spellStart"/>
      <w:r w:rsidRPr="002C0CA2">
        <w:t>Serr</w:t>
      </w:r>
      <w:proofErr w:type="spellEnd"/>
      <w:r w:rsidRPr="002C0CA2">
        <w:t xml:space="preserve">, Klaus. </w:t>
      </w:r>
      <w:r w:rsidRPr="002C0CA2">
        <w:rPr>
          <w:i/>
          <w:iCs/>
        </w:rPr>
        <w:t xml:space="preserve">Thinking about Poverty. </w:t>
      </w:r>
      <w:r w:rsidRPr="002C0CA2">
        <w:t>Sydney: The Federation Press, 2006.</w:t>
      </w:r>
    </w:p>
    <w:p w:rsidR="002C0CA2" w:rsidRPr="002C0CA2" w:rsidRDefault="002C0CA2" w:rsidP="002C0CA2">
      <w:r w:rsidRPr="002C0CA2">
        <w:t>9 Ibid.</w:t>
      </w:r>
    </w:p>
    <w:p w:rsidR="002C0CA2" w:rsidRPr="002C0CA2" w:rsidRDefault="002C0CA2" w:rsidP="002C0CA2">
      <w:r w:rsidRPr="002C0CA2">
        <w:t xml:space="preserve">10 UN General Assembly. </w:t>
      </w:r>
      <w:r w:rsidRPr="002C0CA2">
        <w:rPr>
          <w:i/>
          <w:iCs/>
        </w:rPr>
        <w:t>Declaration of Basic Principles of Justice for Victims of Crime and Abuse of Power</w:t>
      </w:r>
      <w:r w:rsidRPr="002C0CA2">
        <w:t>. A/RES/40/34, 29</w:t>
      </w:r>
      <w:r w:rsidRPr="002C0CA2">
        <w:rPr>
          <w:vertAlign w:val="superscript"/>
        </w:rPr>
        <w:t>th</w:t>
      </w:r>
      <w:r w:rsidRPr="002C0CA2">
        <w:t xml:space="preserve"> November 1985.</w:t>
      </w:r>
    </w:p>
    <w:p w:rsidR="002C0CA2" w:rsidRPr="002C0CA2" w:rsidRDefault="002C0CA2" w:rsidP="002C0CA2">
      <w:r w:rsidRPr="002C0CA2">
        <w:t xml:space="preserve">11 Change the Record Coalition. </w:t>
      </w:r>
      <w:r w:rsidRPr="002C0CA2">
        <w:rPr>
          <w:i/>
          <w:iCs/>
        </w:rPr>
        <w:t xml:space="preserve">Blueprint for Change. </w:t>
      </w:r>
      <w:r w:rsidRPr="002C0CA2">
        <w:t>Australia: The Change the Record Coalition Steering Committee, 2015.</w:t>
      </w:r>
    </w:p>
    <w:p w:rsidR="002C0CA2" w:rsidRPr="002C0CA2" w:rsidRDefault="002C0CA2" w:rsidP="002C0CA2">
      <w:r w:rsidRPr="002C0CA2">
        <w:t xml:space="preserve">12 Northern Territory Government. </w:t>
      </w:r>
      <w:r w:rsidRPr="002C0CA2">
        <w:rPr>
          <w:i/>
          <w:iCs/>
        </w:rPr>
        <w:t xml:space="preserve">The Northern Territory’s Domestic, Family &amp; Sexual Violence Reduction Framework 2018 – 2028: Safe, respected and free from violence. </w:t>
      </w:r>
      <w:r w:rsidRPr="002C0CA2">
        <w:t>Northern Territory Government, 2018.</w:t>
      </w:r>
    </w:p>
    <w:p w:rsidR="002C0CA2" w:rsidRPr="002C0CA2" w:rsidRDefault="002C0CA2" w:rsidP="002C0CA2">
      <w:r w:rsidRPr="002C0CA2">
        <w:t xml:space="preserve">13 </w:t>
      </w:r>
      <w:proofErr w:type="spellStart"/>
      <w:r w:rsidRPr="002C0CA2">
        <w:t>Posick</w:t>
      </w:r>
      <w:proofErr w:type="spellEnd"/>
      <w:r w:rsidRPr="002C0CA2">
        <w:t>, Chad. “The Victim-Offender Overlap</w:t>
      </w:r>
      <w:r w:rsidRPr="002C0CA2">
        <w:rPr>
          <w:i/>
          <w:iCs/>
        </w:rPr>
        <w:t xml:space="preserve">”. </w:t>
      </w:r>
      <w:r w:rsidRPr="002C0CA2">
        <w:t>Oxford Bibliographies, last modified 24</w:t>
      </w:r>
      <w:r w:rsidRPr="002C0CA2">
        <w:rPr>
          <w:vertAlign w:val="superscript"/>
        </w:rPr>
        <w:t>th</w:t>
      </w:r>
      <w:r w:rsidRPr="002C0CA2">
        <w:t xml:space="preserve"> May 2017. </w:t>
      </w:r>
      <w:hyperlink r:id="rId4" w:anchor="obo-9780195396607-0220-bibItem-0001" w:history="1">
        <w:r w:rsidRPr="002C0CA2">
          <w:rPr>
            <w:rStyle w:val="Hyperlink"/>
          </w:rPr>
          <w:t>http://www.oxfordbibliographies.com/view/document/obo-9780195396607/obo-9780195396607-0220.xml#obo-9780195396607-0220-</w:t>
        </w:r>
      </w:hyperlink>
      <w:r w:rsidRPr="002C0CA2">
        <w:t xml:space="preserve"> </w:t>
      </w:r>
      <w:hyperlink r:id="rId5" w:anchor="obo-9780195396607-0220-bibItem-0001" w:history="1">
        <w:r w:rsidRPr="002C0CA2">
          <w:rPr>
            <w:rStyle w:val="Hyperlink"/>
          </w:rPr>
          <w:t>bibItem-0001.</w:t>
        </w:r>
      </w:hyperlink>
    </w:p>
    <w:p w:rsidR="002C0CA2" w:rsidRPr="002C0CA2" w:rsidRDefault="002C0CA2" w:rsidP="002C0CA2">
      <w:r w:rsidRPr="002C0CA2">
        <w:t xml:space="preserve">14 </w:t>
      </w:r>
      <w:proofErr w:type="spellStart"/>
      <w:r w:rsidRPr="002C0CA2">
        <w:t>Posick</w:t>
      </w:r>
      <w:proofErr w:type="spellEnd"/>
      <w:r w:rsidRPr="002C0CA2">
        <w:t>. “The Victim-Offender Overlap</w:t>
      </w:r>
      <w:r w:rsidRPr="002C0CA2">
        <w:rPr>
          <w:i/>
          <w:iCs/>
        </w:rPr>
        <w:t>”.</w:t>
      </w:r>
    </w:p>
    <w:p w:rsidR="002C0CA2" w:rsidRPr="002C0CA2" w:rsidRDefault="002C0CA2" w:rsidP="002C0CA2">
      <w:r w:rsidRPr="002C0CA2">
        <w:t xml:space="preserve">15 Wedlock and </w:t>
      </w:r>
      <w:proofErr w:type="spellStart"/>
      <w:r w:rsidRPr="002C0CA2">
        <w:t>Tapley</w:t>
      </w:r>
      <w:proofErr w:type="spellEnd"/>
      <w:r w:rsidRPr="002C0CA2">
        <w:t xml:space="preserve">. </w:t>
      </w:r>
      <w:r w:rsidRPr="002C0CA2">
        <w:rPr>
          <w:i/>
          <w:iCs/>
        </w:rPr>
        <w:t>What Works.</w:t>
      </w:r>
    </w:p>
    <w:p w:rsidR="002C0CA2" w:rsidRPr="002C0CA2" w:rsidRDefault="002C0CA2" w:rsidP="002C0CA2">
      <w:r w:rsidRPr="002C0CA2">
        <w:t xml:space="preserve">16 </w:t>
      </w:r>
      <w:proofErr w:type="spellStart"/>
      <w:r w:rsidRPr="002C0CA2">
        <w:t>Spalek</w:t>
      </w:r>
      <w:proofErr w:type="spellEnd"/>
      <w:r w:rsidRPr="002C0CA2">
        <w:t xml:space="preserve">, </w:t>
      </w:r>
      <w:proofErr w:type="spellStart"/>
      <w:r w:rsidRPr="002C0CA2">
        <w:t>Basia</w:t>
      </w:r>
      <w:proofErr w:type="spellEnd"/>
      <w:r w:rsidRPr="002C0CA2">
        <w:t xml:space="preserve">. </w:t>
      </w:r>
      <w:r w:rsidRPr="002C0CA2">
        <w:rPr>
          <w:i/>
          <w:iCs/>
        </w:rPr>
        <w:t xml:space="preserve">Crime Victims: theory, policy and practice. </w:t>
      </w:r>
      <w:proofErr w:type="spellStart"/>
      <w:r w:rsidRPr="002C0CA2">
        <w:t>Houndsmill</w:t>
      </w:r>
      <w:proofErr w:type="spellEnd"/>
      <w:r w:rsidRPr="002C0CA2">
        <w:t>, Basingstoke: Palgrave Macmillan, 2006.</w:t>
      </w:r>
    </w:p>
    <w:p w:rsidR="002C0CA2" w:rsidRPr="002C0CA2" w:rsidRDefault="002C0CA2" w:rsidP="002C0CA2">
      <w:r w:rsidRPr="002C0CA2">
        <w:t>17 Ibid.</w:t>
      </w:r>
    </w:p>
    <w:p w:rsidR="002C0CA2" w:rsidRPr="002C0CA2" w:rsidRDefault="002C0CA2" w:rsidP="002C0CA2">
      <w:r w:rsidRPr="002C0CA2">
        <w:t>18 Ibid.</w:t>
      </w:r>
    </w:p>
    <w:p w:rsidR="002C0CA2" w:rsidRPr="002C0CA2" w:rsidRDefault="002C0CA2" w:rsidP="002C0CA2">
      <w:r w:rsidRPr="002C0CA2">
        <w:lastRenderedPageBreak/>
        <w:t xml:space="preserve">19 ten Boom, Annemarie and </w:t>
      </w:r>
      <w:proofErr w:type="spellStart"/>
      <w:r w:rsidRPr="002C0CA2">
        <w:t>Kuijper</w:t>
      </w:r>
      <w:proofErr w:type="spellEnd"/>
      <w:r w:rsidRPr="002C0CA2">
        <w:t xml:space="preserve">, Karlijn. “Victims’ needs a basic human needs.” </w:t>
      </w:r>
      <w:r w:rsidRPr="002C0CA2">
        <w:rPr>
          <w:i/>
          <w:iCs/>
        </w:rPr>
        <w:t xml:space="preserve">International Review of Victimology </w:t>
      </w:r>
      <w:r w:rsidRPr="002C0CA2">
        <w:t>182, no. 2 (2012): 155 – 179.</w:t>
      </w:r>
    </w:p>
    <w:p w:rsidR="002C0CA2" w:rsidRPr="002C0CA2" w:rsidRDefault="002C0CA2" w:rsidP="002C0CA2">
      <w:r w:rsidRPr="002C0CA2">
        <w:t xml:space="preserve">20 UN General Assembly, </w:t>
      </w:r>
      <w:r w:rsidRPr="002C0CA2">
        <w:rPr>
          <w:i/>
          <w:iCs/>
        </w:rPr>
        <w:t>Declaration.</w:t>
      </w:r>
    </w:p>
    <w:p w:rsidR="002C0CA2" w:rsidRPr="002C0CA2" w:rsidRDefault="002C0CA2" w:rsidP="002C0CA2">
      <w:r w:rsidRPr="002C0CA2">
        <w:t xml:space="preserve">21 Harris, Maxine and </w:t>
      </w:r>
      <w:proofErr w:type="spellStart"/>
      <w:r w:rsidRPr="002C0CA2">
        <w:t>Fallot</w:t>
      </w:r>
      <w:proofErr w:type="spellEnd"/>
      <w:r w:rsidRPr="002C0CA2">
        <w:t>, Roger D. “Envisioning a trauma‐informed service system: A vital paradigm shift”</w:t>
      </w:r>
      <w:r w:rsidRPr="002C0CA2">
        <w:rPr>
          <w:i/>
          <w:iCs/>
        </w:rPr>
        <w:t xml:space="preserve">. New Directions for Mental Health Services </w:t>
      </w:r>
      <w:r w:rsidRPr="002C0CA2">
        <w:t>89 (Spring 2001): 3 – 22.</w:t>
      </w:r>
    </w:p>
    <w:p w:rsidR="002C0CA2" w:rsidRPr="002C0CA2" w:rsidRDefault="002C0CA2" w:rsidP="002C0CA2">
      <w:r w:rsidRPr="002C0CA2">
        <w:t xml:space="preserve">22 Fuller, Georgina. “The Database of Victimisation Experiences”. </w:t>
      </w:r>
      <w:r w:rsidRPr="002C0CA2">
        <w:rPr>
          <w:i/>
          <w:iCs/>
        </w:rPr>
        <w:t xml:space="preserve">Technical and background paper series No. 60 </w:t>
      </w:r>
      <w:r w:rsidRPr="002C0CA2">
        <w:t xml:space="preserve">Canberra: Australian Institute of Criminology, </w:t>
      </w:r>
      <w:r w:rsidRPr="002C0CA2">
        <w:rPr>
          <w:i/>
          <w:iCs/>
        </w:rPr>
        <w:t>2015.</w:t>
      </w:r>
    </w:p>
    <w:p w:rsidR="002C0CA2" w:rsidRPr="002C0CA2" w:rsidRDefault="002C0CA2" w:rsidP="002C0CA2">
      <w:r w:rsidRPr="002C0CA2">
        <w:t xml:space="preserve">23 Wedlock and </w:t>
      </w:r>
      <w:proofErr w:type="spellStart"/>
      <w:r w:rsidRPr="002C0CA2">
        <w:t>Tapley</w:t>
      </w:r>
      <w:proofErr w:type="spellEnd"/>
      <w:r w:rsidRPr="002C0CA2">
        <w:t xml:space="preserve">, </w:t>
      </w:r>
      <w:r w:rsidRPr="002C0CA2">
        <w:rPr>
          <w:i/>
          <w:iCs/>
        </w:rPr>
        <w:t>What Works</w:t>
      </w:r>
      <w:r w:rsidRPr="002C0CA2">
        <w:t>.</w:t>
      </w:r>
    </w:p>
    <w:p w:rsidR="002C0CA2" w:rsidRPr="002C0CA2" w:rsidRDefault="002C0CA2" w:rsidP="002C0CA2">
      <w:r w:rsidRPr="002C0CA2">
        <w:t xml:space="preserve">24 Braithwaite, John. “Doing Justice Intelligently in Civil Society”. </w:t>
      </w:r>
      <w:r w:rsidRPr="002C0CA2">
        <w:rPr>
          <w:i/>
          <w:iCs/>
        </w:rPr>
        <w:t xml:space="preserve">Journal of Social Issues </w:t>
      </w:r>
      <w:r w:rsidRPr="002C0CA2">
        <w:t>62, no. 2 (2006): 393 – 409.</w:t>
      </w:r>
    </w:p>
    <w:p w:rsidR="002C0CA2" w:rsidRPr="002C0CA2" w:rsidRDefault="002C0CA2" w:rsidP="002C0CA2">
      <w:r w:rsidRPr="002C0CA2">
        <w:t xml:space="preserve">25 Law Council of Australia. </w:t>
      </w:r>
      <w:r w:rsidRPr="002C0CA2">
        <w:rPr>
          <w:i/>
          <w:iCs/>
        </w:rPr>
        <w:t xml:space="preserve">The Justice Project: Final Report. </w:t>
      </w:r>
      <w:r w:rsidRPr="002C0CA2">
        <w:t>Law Council of Australia, 2018.</w:t>
      </w:r>
    </w:p>
    <w:p w:rsidR="002C0CA2" w:rsidRPr="002C0CA2" w:rsidRDefault="002C0CA2" w:rsidP="002C0CA2">
      <w:r w:rsidRPr="002C0CA2">
        <w:t xml:space="preserve">26 The Senate. </w:t>
      </w:r>
      <w:r w:rsidRPr="002C0CA2">
        <w:rPr>
          <w:i/>
          <w:iCs/>
        </w:rPr>
        <w:t xml:space="preserve">Report: Select Committee on Stillbirth Research and Education. </w:t>
      </w:r>
      <w:r w:rsidRPr="002C0CA2">
        <w:t>Canberra: Commonwealth of Australia, 2018.</w:t>
      </w:r>
    </w:p>
    <w:p w:rsidR="002C0CA2" w:rsidRPr="002C0CA2" w:rsidRDefault="002C0CA2" w:rsidP="002C0CA2">
      <w:r w:rsidRPr="002C0CA2">
        <w:t xml:space="preserve">27 </w:t>
      </w:r>
      <w:proofErr w:type="spellStart"/>
      <w:r w:rsidRPr="002C0CA2">
        <w:t>Aisthorpe</w:t>
      </w:r>
      <w:proofErr w:type="spellEnd"/>
      <w:r w:rsidRPr="002C0CA2">
        <w:t xml:space="preserve">, Judith. “Community fundraising to cover costs of Derick </w:t>
      </w:r>
      <w:proofErr w:type="spellStart"/>
      <w:r w:rsidRPr="002C0CA2">
        <w:t>Suratin’s</w:t>
      </w:r>
      <w:proofErr w:type="spellEnd"/>
      <w:r w:rsidRPr="002C0CA2">
        <w:t xml:space="preserve"> funeral</w:t>
      </w:r>
      <w:r w:rsidRPr="002C0CA2">
        <w:rPr>
          <w:i/>
          <w:iCs/>
        </w:rPr>
        <w:t>”</w:t>
      </w:r>
      <w:r w:rsidRPr="002C0CA2">
        <w:t xml:space="preserve">. </w:t>
      </w:r>
      <w:r w:rsidRPr="002C0CA2">
        <w:rPr>
          <w:i/>
          <w:iCs/>
        </w:rPr>
        <w:t>NT News</w:t>
      </w:r>
      <w:r w:rsidRPr="002C0CA2">
        <w:t>, 27</w:t>
      </w:r>
      <w:r w:rsidRPr="002C0CA2">
        <w:rPr>
          <w:vertAlign w:val="superscript"/>
        </w:rPr>
        <w:t>th</w:t>
      </w:r>
      <w:r w:rsidRPr="002C0CA2">
        <w:t xml:space="preserve"> February 2019.</w:t>
      </w:r>
    </w:p>
    <w:p w:rsidR="002C0CA2" w:rsidRPr="002C0CA2" w:rsidRDefault="002C0CA2" w:rsidP="002C0CA2">
      <w:r w:rsidRPr="002C0CA2">
        <w:t xml:space="preserve">28 Olsen, Anna and Lovett, Ray. </w:t>
      </w:r>
      <w:r w:rsidRPr="002C0CA2">
        <w:rPr>
          <w:i/>
          <w:iCs/>
        </w:rPr>
        <w:t xml:space="preserve">Existing knowledge, practice and responses to violence against women in Australian Indigenous communities: State of knowledge paper. </w:t>
      </w:r>
      <w:r w:rsidRPr="002C0CA2">
        <w:t>Canberra: ANROWS, 2016.</w:t>
      </w:r>
    </w:p>
    <w:p w:rsidR="002C0CA2" w:rsidRPr="002C0CA2" w:rsidRDefault="002C0CA2" w:rsidP="002C0CA2">
      <w:r w:rsidRPr="002C0CA2">
        <w:rPr>
          <w:vertAlign w:val="superscript"/>
        </w:rPr>
        <w:t>29</w:t>
      </w:r>
      <w:r w:rsidRPr="002C0CA2">
        <w:t xml:space="preserve"> Richmond, Alex. </w:t>
      </w:r>
      <w:r w:rsidRPr="002C0CA2">
        <w:rPr>
          <w:i/>
          <w:iCs/>
        </w:rPr>
        <w:t>Research Project: Exploring the voices and experiences of victim/ survivors of Domestic and</w:t>
      </w:r>
    </w:p>
    <w:p w:rsidR="002C0CA2" w:rsidRPr="002C0CA2" w:rsidRDefault="002C0CA2" w:rsidP="002C0CA2">
      <w:r w:rsidRPr="002C0CA2">
        <w:rPr>
          <w:i/>
          <w:iCs/>
        </w:rPr>
        <w:t xml:space="preserve">Family Violence in the NT Justice System. </w:t>
      </w:r>
      <w:r w:rsidRPr="002C0CA2">
        <w:t>Darwin: Dawn House, 2018.</w:t>
      </w:r>
    </w:p>
    <w:p w:rsidR="002C0CA2" w:rsidRPr="002C0CA2" w:rsidRDefault="002C0CA2" w:rsidP="002C0CA2">
      <w:r w:rsidRPr="002C0CA2">
        <w:t>30 Ibid.</w:t>
      </w:r>
    </w:p>
    <w:p w:rsidR="002C0CA2" w:rsidRPr="002C0CA2" w:rsidRDefault="002C0CA2" w:rsidP="002C0CA2">
      <w:r w:rsidRPr="002C0CA2">
        <w:t>31 Ibid.</w:t>
      </w:r>
    </w:p>
    <w:p w:rsidR="002C0CA2" w:rsidRPr="002C0CA2" w:rsidRDefault="002C0CA2" w:rsidP="002C0CA2">
      <w:r w:rsidRPr="002C0CA2">
        <w:rPr>
          <w:vertAlign w:val="superscript"/>
        </w:rPr>
        <w:t>32</w:t>
      </w:r>
      <w:r w:rsidRPr="002C0CA2">
        <w:t xml:space="preserve"> UN General Assembly, </w:t>
      </w:r>
      <w:r w:rsidRPr="002C0CA2">
        <w:rPr>
          <w:i/>
          <w:iCs/>
        </w:rPr>
        <w:t>Declaration.</w:t>
      </w:r>
    </w:p>
    <w:p w:rsidR="002C0CA2" w:rsidRPr="002C0CA2" w:rsidRDefault="002C0CA2" w:rsidP="002C0CA2">
      <w:r w:rsidRPr="002C0CA2">
        <w:t xml:space="preserve">33 </w:t>
      </w:r>
      <w:proofErr w:type="spellStart"/>
      <w:r w:rsidRPr="002C0CA2">
        <w:t>Strang</w:t>
      </w:r>
      <w:proofErr w:type="spellEnd"/>
      <w:r w:rsidRPr="002C0CA2">
        <w:t xml:space="preserve">, Heather. “Victim Evaluation of Face-to-Face Restorative Justice Conferences: A Quasi-Experimental Analysis”. </w:t>
      </w:r>
      <w:r w:rsidRPr="002C0CA2">
        <w:rPr>
          <w:i/>
          <w:iCs/>
        </w:rPr>
        <w:t>Journal of Social Issues 62, no. 2 (2006): 281 – 306.</w:t>
      </w:r>
    </w:p>
    <w:p w:rsidR="002C0CA2" w:rsidRPr="002C0CA2" w:rsidRDefault="002C0CA2" w:rsidP="002C0CA2">
      <w:r w:rsidRPr="002C0CA2">
        <w:t>34 Ibid.</w:t>
      </w:r>
    </w:p>
    <w:p w:rsidR="002C0CA2" w:rsidRPr="002C0CA2" w:rsidRDefault="002C0CA2" w:rsidP="002C0CA2">
      <w:r w:rsidRPr="002C0CA2">
        <w:t xml:space="preserve">35 Larsen, Jacqueline J. “Restorative justice in the Australian criminal justice system”. </w:t>
      </w:r>
      <w:r w:rsidRPr="002C0CA2">
        <w:rPr>
          <w:i/>
          <w:iCs/>
        </w:rPr>
        <w:t>AIC Reports, Research and Public Policy Series 127,</w:t>
      </w:r>
    </w:p>
    <w:p w:rsidR="002C0CA2" w:rsidRPr="002C0CA2" w:rsidRDefault="002C0CA2" w:rsidP="002C0CA2">
      <w:r w:rsidRPr="002C0CA2">
        <w:t>Canberra: Australian Institute of Criminology, 2014</w:t>
      </w:r>
    </w:p>
    <w:p w:rsidR="002C0CA2" w:rsidRPr="002C0CA2" w:rsidRDefault="002C0CA2" w:rsidP="002C0CA2">
      <w:r w:rsidRPr="002C0CA2">
        <w:t xml:space="preserve">36 Armstrong et al. “Factors Contributing to Victims’ Satisfaction with Restorative Justice Practice: A Qualitative Examination”. </w:t>
      </w:r>
      <w:r w:rsidRPr="002C0CA2">
        <w:rPr>
          <w:i/>
          <w:iCs/>
        </w:rPr>
        <w:t xml:space="preserve">British Journal of Community Justice </w:t>
      </w:r>
      <w:r w:rsidRPr="002C0CA2">
        <w:t>10, no. 2 (2012): 39 – 54.</w:t>
      </w:r>
    </w:p>
    <w:p w:rsidR="002C0CA2" w:rsidRPr="002C0CA2" w:rsidRDefault="002C0CA2" w:rsidP="002C0CA2">
      <w:r w:rsidRPr="002C0CA2">
        <w:t>37 Miller, Susan L. and Hefner, M. Kristen. “Procedural Justice for Victims and Offenders</w:t>
      </w:r>
      <w:proofErr w:type="gramStart"/>
      <w:r w:rsidRPr="002C0CA2">
        <w:t>?:</w:t>
      </w:r>
      <w:proofErr w:type="gramEnd"/>
      <w:r w:rsidRPr="002C0CA2">
        <w:t xml:space="preserve"> Exploring Restorative Justice Processes in</w:t>
      </w:r>
    </w:p>
    <w:p w:rsidR="002C0CA2" w:rsidRPr="002C0CA2" w:rsidRDefault="002C0CA2" w:rsidP="002C0CA2">
      <w:r w:rsidRPr="002C0CA2">
        <w:t xml:space="preserve">Australia and the US”. </w:t>
      </w:r>
      <w:r w:rsidRPr="002C0CA2">
        <w:rPr>
          <w:i/>
          <w:iCs/>
        </w:rPr>
        <w:t xml:space="preserve">Justice Quarterly </w:t>
      </w:r>
      <w:r w:rsidRPr="002C0CA2">
        <w:t>32, no. 1 (2015)”: 142 – 167</w:t>
      </w:r>
    </w:p>
    <w:p w:rsidR="002C0CA2" w:rsidRPr="002C0CA2" w:rsidRDefault="002C0CA2" w:rsidP="002C0CA2">
      <w:r w:rsidRPr="002C0CA2">
        <w:t xml:space="preserve">38 Larsen. </w:t>
      </w:r>
      <w:r w:rsidRPr="002C0CA2">
        <w:rPr>
          <w:i/>
          <w:iCs/>
        </w:rPr>
        <w:t>AIC Reports.</w:t>
      </w:r>
    </w:p>
    <w:p w:rsidR="002C0CA2" w:rsidRPr="002C0CA2" w:rsidRDefault="002C0CA2" w:rsidP="002C0CA2">
      <w:r w:rsidRPr="002C0CA2">
        <w:lastRenderedPageBreak/>
        <w:t>39 Ibid</w:t>
      </w:r>
      <w:r w:rsidRPr="002C0CA2">
        <w:rPr>
          <w:i/>
          <w:iCs/>
        </w:rPr>
        <w:t xml:space="preserve">; </w:t>
      </w:r>
      <w:r w:rsidRPr="002C0CA2">
        <w:t xml:space="preserve">Miller and Hefner. </w:t>
      </w:r>
      <w:r w:rsidRPr="002C0CA2">
        <w:rPr>
          <w:i/>
          <w:iCs/>
        </w:rPr>
        <w:t>Justice Quarterly.</w:t>
      </w:r>
    </w:p>
    <w:p w:rsidR="002C0CA2" w:rsidRPr="002C0CA2" w:rsidRDefault="002C0CA2" w:rsidP="002C0CA2">
      <w:r w:rsidRPr="002C0CA2">
        <w:t xml:space="preserve">40 Law Council of Australia, </w:t>
      </w:r>
      <w:proofErr w:type="gramStart"/>
      <w:r w:rsidRPr="002C0CA2">
        <w:rPr>
          <w:i/>
          <w:iCs/>
        </w:rPr>
        <w:t>The</w:t>
      </w:r>
      <w:proofErr w:type="gramEnd"/>
      <w:r w:rsidRPr="002C0CA2">
        <w:rPr>
          <w:i/>
          <w:iCs/>
        </w:rPr>
        <w:t xml:space="preserve"> Justice Project</w:t>
      </w:r>
      <w:r w:rsidRPr="002C0CA2">
        <w:t>.</w:t>
      </w:r>
    </w:p>
    <w:p w:rsidR="002C0CA2" w:rsidRPr="002C0CA2" w:rsidRDefault="002C0CA2" w:rsidP="002C0CA2">
      <w:r w:rsidRPr="002C0CA2">
        <w:t xml:space="preserve">41 Wedlock and </w:t>
      </w:r>
      <w:proofErr w:type="spellStart"/>
      <w:r w:rsidRPr="002C0CA2">
        <w:t>Tapley</w:t>
      </w:r>
      <w:proofErr w:type="spellEnd"/>
      <w:r w:rsidRPr="002C0CA2">
        <w:t xml:space="preserve">, </w:t>
      </w:r>
      <w:r w:rsidRPr="002C0CA2">
        <w:rPr>
          <w:i/>
          <w:iCs/>
        </w:rPr>
        <w:t>What Works.</w:t>
      </w:r>
    </w:p>
    <w:p w:rsidR="002C0CA2" w:rsidRDefault="002C0CA2" w:rsidP="002C0CA2">
      <w:bookmarkStart w:id="0" w:name="_GoBack"/>
      <w:bookmarkEnd w:id="0"/>
    </w:p>
    <w:sectPr w:rsidR="002C0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2"/>
    <w:rsid w:val="002C0CA2"/>
    <w:rsid w:val="006C4F48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021E"/>
  <w15:chartTrackingRefBased/>
  <w15:docId w15:val="{529AB5DD-F118-4F5A-898A-8124803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xfordbibliographies.com/view/document/obo-9780195396607/obo-9780195396607-0220.xml" TargetMode="External"/><Relationship Id="rId4" Type="http://schemas.openxmlformats.org/officeDocument/2006/relationships/hyperlink" Target="http://www.oxfordbibliographies.com/view/document/obo-9780195396607/obo-9780195396607-0220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2020-10-27T05:50:00Z</dcterms:created>
  <dcterms:modified xsi:type="dcterms:W3CDTF">2020-10-27T05:58:00Z</dcterms:modified>
</cp:coreProperties>
</file>